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CB19C" w14:textId="77777777" w:rsidR="008864AA" w:rsidRDefault="003A4ACD" w:rsidP="004203C7">
      <w:pPr>
        <w:rPr>
          <w:rFonts w:ascii="Times New Roman" w:hAnsi="Times New Roman"/>
          <w:b/>
          <w:sz w:val="24"/>
          <w:szCs w:val="24"/>
        </w:rPr>
      </w:pPr>
      <w:r>
        <w:rPr>
          <w:rStyle w:val="CommentReference"/>
        </w:rPr>
        <w:commentReference w:id="0"/>
      </w:r>
    </w:p>
    <w:p w14:paraId="35D6693E" w14:textId="77777777" w:rsidR="00E934F3" w:rsidRDefault="00CA4929" w:rsidP="004203C7">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7D903282" w14:textId="77777777" w:rsidR="00E934F3" w:rsidRDefault="00E934F3" w:rsidP="004203C7">
      <w:pPr>
        <w:rPr>
          <w:rFonts w:ascii="Times New Roman" w:hAnsi="Times New Roman"/>
          <w:b/>
          <w:sz w:val="24"/>
          <w:szCs w:val="24"/>
        </w:rPr>
      </w:pPr>
    </w:p>
    <w:p w14:paraId="1FEE8DE7" w14:textId="77777777" w:rsidR="00E934F3" w:rsidRDefault="00E934F3" w:rsidP="004203C7">
      <w:pPr>
        <w:rPr>
          <w:rFonts w:ascii="Times New Roman" w:hAnsi="Times New Roman"/>
          <w:b/>
          <w:sz w:val="24"/>
          <w:szCs w:val="24"/>
        </w:rPr>
      </w:pPr>
    </w:p>
    <w:p w14:paraId="1DC6A752" w14:textId="77777777" w:rsidR="00E934F3" w:rsidRDefault="00E934F3" w:rsidP="004203C7">
      <w:pPr>
        <w:rPr>
          <w:rFonts w:ascii="Times New Roman" w:hAnsi="Times New Roman"/>
          <w:b/>
          <w:sz w:val="24"/>
          <w:szCs w:val="24"/>
        </w:rPr>
      </w:pPr>
    </w:p>
    <w:p w14:paraId="690DA471" w14:textId="77777777" w:rsidR="00E934F3" w:rsidRDefault="00E934F3" w:rsidP="004203C7">
      <w:pPr>
        <w:rPr>
          <w:rFonts w:ascii="Times New Roman" w:hAnsi="Times New Roman"/>
          <w:b/>
          <w:sz w:val="24"/>
          <w:szCs w:val="24"/>
        </w:rPr>
      </w:pPr>
    </w:p>
    <w:p w14:paraId="4B6A70F8" w14:textId="77777777" w:rsidR="00E934F3" w:rsidRDefault="00E934F3" w:rsidP="004203C7">
      <w:pPr>
        <w:rPr>
          <w:rFonts w:ascii="Times New Roman" w:hAnsi="Times New Roman"/>
          <w:b/>
          <w:sz w:val="24"/>
          <w:szCs w:val="24"/>
        </w:rPr>
      </w:pPr>
    </w:p>
    <w:p w14:paraId="4D7CC5D7" w14:textId="77777777" w:rsidR="00E934F3" w:rsidRPr="00E21306" w:rsidRDefault="00E934F3" w:rsidP="00E21306">
      <w:pPr>
        <w:jc w:val="center"/>
        <w:rPr>
          <w:rFonts w:ascii="Times New Roman" w:hAnsi="Times New Roman"/>
          <w:sz w:val="24"/>
          <w:szCs w:val="24"/>
        </w:rPr>
      </w:pPr>
      <w:commentRangeStart w:id="1"/>
      <w:r>
        <w:rPr>
          <w:rFonts w:ascii="Times New Roman" w:hAnsi="Times New Roman"/>
          <w:sz w:val="24"/>
          <w:szCs w:val="24"/>
        </w:rPr>
        <w:t>Relation Between Rape Myth Acceptance and Gender Role-Related Predictors</w:t>
      </w:r>
    </w:p>
    <w:p w14:paraId="46BEAA96" w14:textId="77777777" w:rsidR="00E934F3" w:rsidRPr="00E21306" w:rsidRDefault="00E934F3" w:rsidP="00E21306">
      <w:pPr>
        <w:jc w:val="center"/>
        <w:rPr>
          <w:rFonts w:ascii="Times New Roman" w:hAnsi="Times New Roman"/>
          <w:sz w:val="24"/>
          <w:szCs w:val="24"/>
        </w:rPr>
      </w:pPr>
      <w:r w:rsidRPr="00E21306">
        <w:rPr>
          <w:rFonts w:ascii="Times New Roman" w:hAnsi="Times New Roman"/>
          <w:sz w:val="24"/>
          <w:szCs w:val="24"/>
        </w:rPr>
        <w:t>Brennan Peters</w:t>
      </w:r>
    </w:p>
    <w:p w14:paraId="1BA32266" w14:textId="77777777" w:rsidR="00E934F3" w:rsidRDefault="00E934F3" w:rsidP="00E21306">
      <w:pPr>
        <w:jc w:val="center"/>
        <w:rPr>
          <w:rFonts w:ascii="Times New Roman" w:hAnsi="Times New Roman"/>
          <w:sz w:val="24"/>
          <w:szCs w:val="24"/>
        </w:rPr>
      </w:pPr>
      <w:r w:rsidRPr="00E21306">
        <w:rPr>
          <w:rFonts w:ascii="Times New Roman" w:hAnsi="Times New Roman"/>
          <w:sz w:val="24"/>
          <w:szCs w:val="24"/>
        </w:rPr>
        <w:t xml:space="preserve">Loyola University New </w:t>
      </w:r>
      <w:proofErr w:type="gramStart"/>
      <w:r w:rsidRPr="00E21306">
        <w:rPr>
          <w:rFonts w:ascii="Times New Roman" w:hAnsi="Times New Roman"/>
          <w:sz w:val="24"/>
          <w:szCs w:val="24"/>
        </w:rPr>
        <w:t>Orleans</w:t>
      </w:r>
      <w:r w:rsidR="00875949">
        <w:rPr>
          <w:rFonts w:ascii="Times New Roman" w:hAnsi="Times New Roman"/>
          <w:sz w:val="24"/>
          <w:szCs w:val="24"/>
        </w:rPr>
        <w:t xml:space="preserve">   </w:t>
      </w:r>
      <w:commentRangeEnd w:id="1"/>
      <w:proofErr w:type="gramEnd"/>
      <w:r w:rsidR="003A4ACD">
        <w:rPr>
          <w:rStyle w:val="CommentReference"/>
        </w:rPr>
        <w:commentReference w:id="1"/>
      </w:r>
    </w:p>
    <w:p w14:paraId="5C6B57BA" w14:textId="77777777" w:rsidR="00E934F3" w:rsidRDefault="00E934F3" w:rsidP="00E21306">
      <w:pPr>
        <w:jc w:val="center"/>
        <w:rPr>
          <w:rFonts w:ascii="Times New Roman" w:hAnsi="Times New Roman"/>
          <w:sz w:val="24"/>
          <w:szCs w:val="24"/>
        </w:rPr>
      </w:pPr>
    </w:p>
    <w:p w14:paraId="1D116F03" w14:textId="77777777" w:rsidR="00E934F3" w:rsidRDefault="00E934F3" w:rsidP="00E21306">
      <w:pPr>
        <w:jc w:val="center"/>
        <w:rPr>
          <w:rFonts w:ascii="Times New Roman" w:hAnsi="Times New Roman"/>
          <w:sz w:val="24"/>
          <w:szCs w:val="24"/>
        </w:rPr>
      </w:pPr>
    </w:p>
    <w:p w14:paraId="40DC83E8" w14:textId="77777777" w:rsidR="00E934F3" w:rsidRDefault="00E934F3" w:rsidP="00E21306">
      <w:pPr>
        <w:jc w:val="center"/>
        <w:rPr>
          <w:rFonts w:ascii="Times New Roman" w:hAnsi="Times New Roman"/>
          <w:sz w:val="24"/>
          <w:szCs w:val="24"/>
        </w:rPr>
      </w:pPr>
    </w:p>
    <w:p w14:paraId="66BD2F80" w14:textId="77777777" w:rsidR="00E934F3" w:rsidRDefault="00E934F3" w:rsidP="00E21306">
      <w:pPr>
        <w:jc w:val="center"/>
        <w:rPr>
          <w:rFonts w:ascii="Times New Roman" w:hAnsi="Times New Roman"/>
          <w:sz w:val="24"/>
          <w:szCs w:val="24"/>
        </w:rPr>
      </w:pPr>
    </w:p>
    <w:p w14:paraId="02D421A3" w14:textId="77777777" w:rsidR="00E934F3" w:rsidRDefault="00E934F3" w:rsidP="00E21306">
      <w:pPr>
        <w:jc w:val="center"/>
        <w:rPr>
          <w:rFonts w:ascii="Times New Roman" w:hAnsi="Times New Roman"/>
          <w:sz w:val="24"/>
          <w:szCs w:val="24"/>
        </w:rPr>
      </w:pPr>
    </w:p>
    <w:p w14:paraId="1F1B1F6B" w14:textId="77777777" w:rsidR="00D4015C" w:rsidRDefault="00D4015C" w:rsidP="00E21306">
      <w:pPr>
        <w:jc w:val="center"/>
        <w:rPr>
          <w:rFonts w:ascii="Times New Roman" w:hAnsi="Times New Roman"/>
          <w:sz w:val="24"/>
          <w:szCs w:val="24"/>
        </w:rPr>
      </w:pPr>
    </w:p>
    <w:p w14:paraId="6E90FDFF" w14:textId="77777777" w:rsidR="00E934F3" w:rsidRDefault="00E934F3" w:rsidP="00E21306">
      <w:pPr>
        <w:jc w:val="center"/>
        <w:rPr>
          <w:rFonts w:ascii="Times New Roman" w:hAnsi="Times New Roman"/>
          <w:sz w:val="24"/>
          <w:szCs w:val="24"/>
        </w:rPr>
      </w:pPr>
    </w:p>
    <w:p w14:paraId="4B6D2456" w14:textId="77777777" w:rsidR="005E4C69" w:rsidRDefault="005E4C69" w:rsidP="00E21306">
      <w:pPr>
        <w:jc w:val="center"/>
        <w:rPr>
          <w:rFonts w:ascii="Times New Roman" w:hAnsi="Times New Roman"/>
          <w:sz w:val="24"/>
          <w:szCs w:val="24"/>
        </w:rPr>
      </w:pPr>
    </w:p>
    <w:p w14:paraId="3517C518" w14:textId="77777777" w:rsidR="005E4C69" w:rsidRDefault="005E4C69" w:rsidP="00E21306">
      <w:pPr>
        <w:jc w:val="center"/>
        <w:rPr>
          <w:rFonts w:ascii="Times New Roman" w:hAnsi="Times New Roman"/>
          <w:sz w:val="24"/>
          <w:szCs w:val="24"/>
        </w:rPr>
      </w:pPr>
    </w:p>
    <w:p w14:paraId="6BF0F8FE" w14:textId="77777777" w:rsidR="005E4C69" w:rsidRDefault="005E4C69" w:rsidP="00E21306">
      <w:pPr>
        <w:jc w:val="center"/>
        <w:rPr>
          <w:rFonts w:ascii="Times New Roman" w:hAnsi="Times New Roman"/>
          <w:sz w:val="24"/>
          <w:szCs w:val="24"/>
        </w:rPr>
      </w:pPr>
      <w:bookmarkStart w:id="2" w:name="_GoBack"/>
      <w:bookmarkEnd w:id="2"/>
    </w:p>
    <w:p w14:paraId="168D08DC" w14:textId="77777777" w:rsidR="005E4C69" w:rsidRDefault="005E4C69" w:rsidP="00E21306">
      <w:pPr>
        <w:jc w:val="center"/>
        <w:rPr>
          <w:rFonts w:ascii="Times New Roman" w:hAnsi="Times New Roman"/>
          <w:sz w:val="24"/>
          <w:szCs w:val="24"/>
        </w:rPr>
      </w:pPr>
    </w:p>
    <w:p w14:paraId="3B9998A5" w14:textId="77777777" w:rsidR="005E4C69" w:rsidRDefault="005E4C69" w:rsidP="00E21306">
      <w:pPr>
        <w:jc w:val="center"/>
        <w:rPr>
          <w:rFonts w:ascii="Times New Roman" w:hAnsi="Times New Roman"/>
          <w:sz w:val="24"/>
          <w:szCs w:val="24"/>
        </w:rPr>
      </w:pPr>
      <w:r>
        <w:rPr>
          <w:rStyle w:val="CommentReference"/>
        </w:rPr>
        <w:commentReference w:id="3"/>
      </w:r>
    </w:p>
    <w:p w14:paraId="0E81B8AD" w14:textId="77777777" w:rsidR="00E934F3" w:rsidRDefault="00E934F3" w:rsidP="00E21306">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627CDF" w:rsidRPr="007B14B1" w14:paraId="12BE92CE" w14:textId="77777777" w:rsidTr="007B14B1">
        <w:trPr>
          <w:trHeight w:val="721"/>
        </w:trPr>
        <w:tc>
          <w:tcPr>
            <w:tcW w:w="9531" w:type="dxa"/>
          </w:tcPr>
          <w:p w14:paraId="21968A4F" w14:textId="77777777" w:rsidR="00627CDF" w:rsidRPr="007B14B1" w:rsidRDefault="00627CDF" w:rsidP="007B14B1">
            <w:pPr>
              <w:spacing w:after="0" w:line="480" w:lineRule="auto"/>
              <w:jc w:val="center"/>
              <w:rPr>
                <w:rFonts w:ascii="Times New Roman" w:hAnsi="Times New Roman"/>
                <w:b/>
                <w:sz w:val="20"/>
                <w:szCs w:val="20"/>
              </w:rPr>
            </w:pPr>
            <w:r w:rsidRPr="007B14B1">
              <w:rPr>
                <w:rFonts w:ascii="Times New Roman" w:hAnsi="Times New Roman"/>
                <w:b/>
                <w:sz w:val="20"/>
                <w:szCs w:val="20"/>
              </w:rPr>
              <w:t>SAMPLE APA</w:t>
            </w:r>
            <w:r w:rsidR="00324474">
              <w:rPr>
                <w:rFonts w:ascii="Times New Roman" w:hAnsi="Times New Roman"/>
                <w:b/>
                <w:sz w:val="20"/>
                <w:szCs w:val="20"/>
              </w:rPr>
              <w:t xml:space="preserve"> STYLE PAPER [UPDATED 11-2017</w:t>
            </w:r>
            <w:r w:rsidRPr="007B14B1">
              <w:rPr>
                <w:rFonts w:ascii="Times New Roman" w:hAnsi="Times New Roman"/>
                <w:b/>
                <w:sz w:val="20"/>
                <w:szCs w:val="20"/>
              </w:rPr>
              <w:t xml:space="preserve">]     </w:t>
            </w:r>
          </w:p>
          <w:p w14:paraId="2744BACA" w14:textId="7C33B352" w:rsidR="00627CDF" w:rsidRPr="007B14B1" w:rsidRDefault="00E12DB8" w:rsidP="00E12DB8">
            <w:pPr>
              <w:spacing w:after="0" w:line="480" w:lineRule="auto"/>
              <w:jc w:val="center"/>
              <w:rPr>
                <w:rFonts w:ascii="Times New Roman" w:hAnsi="Times New Roman"/>
                <w:b/>
                <w:sz w:val="20"/>
                <w:szCs w:val="20"/>
              </w:rPr>
            </w:pPr>
            <w:r>
              <w:rPr>
                <w:rFonts w:ascii="Times New Roman" w:hAnsi="Times New Roman"/>
                <w:b/>
                <w:sz w:val="20"/>
                <w:szCs w:val="20"/>
              </w:rPr>
              <w:t>OFFICE OF WRITING AND LANGUAGE SERVICES</w:t>
            </w:r>
            <w:r w:rsidR="00627CDF" w:rsidRPr="007B14B1">
              <w:rPr>
                <w:rFonts w:ascii="Times New Roman" w:hAnsi="Times New Roman"/>
                <w:b/>
                <w:sz w:val="20"/>
                <w:szCs w:val="20"/>
              </w:rPr>
              <w:t xml:space="preserve">, LOYOLA UNIVERSITY, </w:t>
            </w:r>
            <w:r w:rsidR="005818A2">
              <w:rPr>
                <w:rFonts w:ascii="Times New Roman" w:hAnsi="Times New Roman"/>
                <w:b/>
                <w:sz w:val="20"/>
                <w:szCs w:val="20"/>
              </w:rPr>
              <w:t>ML</w:t>
            </w:r>
            <w:r>
              <w:rPr>
                <w:rFonts w:ascii="Times New Roman" w:hAnsi="Times New Roman"/>
                <w:b/>
                <w:sz w:val="20"/>
                <w:szCs w:val="20"/>
              </w:rPr>
              <w:t xml:space="preserve"> 241</w:t>
            </w:r>
          </w:p>
        </w:tc>
      </w:tr>
    </w:tbl>
    <w:p w14:paraId="34129DE3" w14:textId="77777777" w:rsidR="00E934F3" w:rsidRPr="00430182" w:rsidRDefault="00E934F3" w:rsidP="00732454">
      <w:pPr>
        <w:spacing w:after="0" w:line="480" w:lineRule="auto"/>
        <w:jc w:val="center"/>
        <w:rPr>
          <w:rFonts w:ascii="Times New Roman" w:hAnsi="Times New Roman"/>
          <w:bCs/>
          <w:sz w:val="24"/>
          <w:szCs w:val="24"/>
        </w:rPr>
      </w:pPr>
      <w:r>
        <w:rPr>
          <w:rFonts w:ascii="Times New Roman" w:hAnsi="Times New Roman"/>
          <w:b/>
          <w:sz w:val="24"/>
          <w:szCs w:val="24"/>
        </w:rPr>
        <w:br w:type="page"/>
      </w:r>
      <w:commentRangeStart w:id="4"/>
      <w:r w:rsidRPr="00430182">
        <w:rPr>
          <w:rFonts w:ascii="Times New Roman" w:hAnsi="Times New Roman"/>
          <w:bCs/>
          <w:sz w:val="24"/>
          <w:szCs w:val="24"/>
        </w:rPr>
        <w:lastRenderedPageBreak/>
        <w:t>Abstract</w:t>
      </w:r>
      <w:commentRangeEnd w:id="4"/>
      <w:r w:rsidR="00FE78D6">
        <w:rPr>
          <w:rStyle w:val="CommentReference"/>
        </w:rPr>
        <w:commentReference w:id="4"/>
      </w:r>
      <w:r w:rsidR="00FE78D6">
        <w:rPr>
          <w:rFonts w:ascii="Times New Roman" w:hAnsi="Times New Roman"/>
          <w:bCs/>
          <w:sz w:val="24"/>
          <w:szCs w:val="24"/>
        </w:rPr>
        <w:t xml:space="preserve">   </w:t>
      </w:r>
      <w:r w:rsidR="00006045">
        <w:rPr>
          <w:rFonts w:ascii="Times New Roman" w:hAnsi="Times New Roman"/>
          <w:bCs/>
          <w:sz w:val="24"/>
          <w:szCs w:val="24"/>
        </w:rPr>
        <w:t xml:space="preserve">                                              </w:t>
      </w:r>
    </w:p>
    <w:p w14:paraId="493FD805" w14:textId="77777777" w:rsidR="00E934F3" w:rsidRPr="00430182" w:rsidRDefault="00E934F3" w:rsidP="005B413F">
      <w:pPr>
        <w:spacing w:after="0" w:line="480" w:lineRule="auto"/>
        <w:rPr>
          <w:rFonts w:ascii="Times New Roman" w:hAnsi="Times New Roman"/>
          <w:bCs/>
          <w:sz w:val="24"/>
          <w:szCs w:val="24"/>
        </w:rPr>
      </w:pPr>
      <w:commentRangeStart w:id="5"/>
      <w:r>
        <w:rPr>
          <w:rFonts w:ascii="Times New Roman" w:hAnsi="Times New Roman"/>
          <w:bCs/>
          <w:sz w:val="24"/>
          <w:szCs w:val="24"/>
        </w:rPr>
        <w:t>Sexual</w:t>
      </w:r>
      <w:commentRangeEnd w:id="5"/>
      <w:r w:rsidR="00FE78D6">
        <w:rPr>
          <w:rStyle w:val="CommentReference"/>
        </w:rPr>
        <w:commentReference w:id="5"/>
      </w:r>
      <w:r>
        <w:rPr>
          <w:rFonts w:ascii="Times New Roman" w:hAnsi="Times New Roman"/>
          <w:bCs/>
          <w:sz w:val="24"/>
          <w:szCs w:val="24"/>
        </w:rPr>
        <w:t xml:space="preserve"> violence is a pervasive social ill. Existing research on intimate partner violence and general aggression in men indicates that stress surrounding gender identity is predictive of hostile attitudes and aggressive behavior, especially directed toward women. The proposed research seeks to further clarify the link between gender and aggression by examining the like between gender-related predictors and rape myth acceptance, an existing accepted predictor of sexually aggressive behavior in men. One hundred eighty undergraduate college men will complete a series of scales assessing their levels of masculine gender role stress, placements in gender role journey, degrees of traditional gender role acceptance, and levels of rape myth acceptance. The proposed research will examine the relation between masculine gender role stress, gender role ambivalence, traditional gender role acceptance, and rape myth acceptance. Data will be displayed as a Pearson correlation. Results of this study will help future researchers, clinicians, and law enforcement officials understand predictive factors of sexual violence and develop appropriate interventions.</w:t>
      </w:r>
      <w:r w:rsidR="00FE78D6">
        <w:rPr>
          <w:rFonts w:ascii="Times New Roman" w:hAnsi="Times New Roman"/>
          <w:bCs/>
          <w:sz w:val="24"/>
          <w:szCs w:val="24"/>
        </w:rPr>
        <w:t xml:space="preserve">     </w:t>
      </w:r>
    </w:p>
    <w:p w14:paraId="314F0764" w14:textId="77777777" w:rsidR="00E934F3" w:rsidRDefault="00E934F3" w:rsidP="005B413F">
      <w:pPr>
        <w:spacing w:after="0" w:line="480" w:lineRule="auto"/>
        <w:jc w:val="center"/>
        <w:rPr>
          <w:rFonts w:ascii="Times New Roman" w:hAnsi="Times New Roman"/>
          <w:sz w:val="24"/>
          <w:szCs w:val="24"/>
        </w:rPr>
      </w:pPr>
      <w:r>
        <w:rPr>
          <w:rFonts w:ascii="Times New Roman" w:hAnsi="Times New Roman"/>
          <w:sz w:val="24"/>
          <w:szCs w:val="24"/>
        </w:rPr>
        <w:br w:type="page"/>
      </w:r>
      <w:commentRangeStart w:id="6"/>
      <w:r>
        <w:rPr>
          <w:rFonts w:ascii="Times New Roman" w:hAnsi="Times New Roman"/>
          <w:sz w:val="24"/>
          <w:szCs w:val="24"/>
        </w:rPr>
        <w:lastRenderedPageBreak/>
        <w:t>Relation Between Rape Myth Acceptance and Gender-Role Related Predictors</w:t>
      </w:r>
      <w:commentRangeEnd w:id="6"/>
      <w:r w:rsidR="00646ADB">
        <w:rPr>
          <w:rStyle w:val="CommentReference"/>
        </w:rPr>
        <w:commentReference w:id="6"/>
      </w:r>
    </w:p>
    <w:p w14:paraId="3FDB5D6C" w14:textId="77777777" w:rsidR="00E934F3" w:rsidRDefault="00E934F3" w:rsidP="00984B58">
      <w:pPr>
        <w:spacing w:after="0" w:line="480" w:lineRule="auto"/>
        <w:rPr>
          <w:rFonts w:ascii="Times New Roman" w:hAnsi="Times New Roman"/>
          <w:sz w:val="24"/>
          <w:szCs w:val="24"/>
        </w:rPr>
      </w:pPr>
      <w:r>
        <w:rPr>
          <w:rFonts w:ascii="Times New Roman" w:hAnsi="Times New Roman"/>
          <w:sz w:val="24"/>
          <w:szCs w:val="24"/>
        </w:rPr>
        <w:tab/>
      </w:r>
      <w:commentRangeStart w:id="7"/>
      <w:r>
        <w:rPr>
          <w:rFonts w:ascii="Times New Roman" w:hAnsi="Times New Roman"/>
          <w:sz w:val="24"/>
          <w:szCs w:val="24"/>
        </w:rPr>
        <w:t>Violence</w:t>
      </w:r>
      <w:commentRangeEnd w:id="7"/>
      <w:r w:rsidR="00391B81">
        <w:rPr>
          <w:rStyle w:val="CommentReference"/>
        </w:rPr>
        <w:commentReference w:id="7"/>
      </w:r>
      <w:r>
        <w:rPr>
          <w:rFonts w:ascii="Times New Roman" w:hAnsi="Times New Roman"/>
          <w:sz w:val="24"/>
          <w:szCs w:val="24"/>
        </w:rPr>
        <w:t xml:space="preserve"> against women, in its many forms, is a pervasive social issue on both national and international levels. Researchers from a wide breadth of fields have dedicated their time and resources to understanding both the causes and effects of these violent acts, including intimate partner violence (IPV), rape (forcible and coercive), and other forms of harm and intimidation. One emerging theory regarding the motivation for violence perpetrated by men against women stems from theories relating to masculine gender identity: heightened gender role stress or feelings of gender role ambivalence may serve as predictors for aggressive behavior by men against women </w:t>
      </w:r>
      <w:commentRangeStart w:id="8"/>
      <w:r>
        <w:rPr>
          <w:rFonts w:ascii="Times New Roman" w:hAnsi="Times New Roman"/>
          <w:sz w:val="24"/>
          <w:szCs w:val="24"/>
        </w:rPr>
        <w:t>(</w:t>
      </w:r>
      <w:r w:rsidRPr="008A7438">
        <w:rPr>
          <w:rFonts w:ascii="Times New Roman" w:hAnsi="Times New Roman"/>
          <w:sz w:val="24"/>
          <w:szCs w:val="24"/>
        </w:rPr>
        <w:t>McDermott</w:t>
      </w:r>
      <w:r>
        <w:rPr>
          <w:rFonts w:ascii="Times New Roman" w:hAnsi="Times New Roman"/>
          <w:sz w:val="24"/>
          <w:szCs w:val="24"/>
        </w:rPr>
        <w:t>,</w:t>
      </w:r>
      <w:r w:rsidRPr="008A7438">
        <w:rPr>
          <w:rFonts w:ascii="Times New Roman" w:hAnsi="Times New Roman"/>
          <w:sz w:val="24"/>
          <w:szCs w:val="24"/>
        </w:rPr>
        <w:t xml:space="preserve"> Schw</w:t>
      </w:r>
      <w:r>
        <w:rPr>
          <w:rFonts w:ascii="Times New Roman" w:hAnsi="Times New Roman"/>
          <w:sz w:val="24"/>
          <w:szCs w:val="24"/>
        </w:rPr>
        <w:t xml:space="preserve">artz, &amp; </w:t>
      </w:r>
      <w:proofErr w:type="spellStart"/>
      <w:r>
        <w:rPr>
          <w:rFonts w:ascii="Times New Roman" w:hAnsi="Times New Roman"/>
          <w:sz w:val="24"/>
          <w:szCs w:val="24"/>
        </w:rPr>
        <w:t>Trevathan-Minnis</w:t>
      </w:r>
      <w:proofErr w:type="spellEnd"/>
      <w:r>
        <w:rPr>
          <w:rFonts w:ascii="Times New Roman" w:hAnsi="Times New Roman"/>
          <w:sz w:val="24"/>
          <w:szCs w:val="24"/>
        </w:rPr>
        <w:t>, 2011</w:t>
      </w:r>
      <w:r w:rsidR="00601C62">
        <w:rPr>
          <w:rFonts w:ascii="Times New Roman" w:hAnsi="Times New Roman"/>
          <w:sz w:val="24"/>
          <w:szCs w:val="24"/>
        </w:rPr>
        <w:t>; Moore</w:t>
      </w:r>
      <w:r>
        <w:rPr>
          <w:rFonts w:ascii="Times New Roman" w:hAnsi="Times New Roman"/>
          <w:sz w:val="24"/>
          <w:szCs w:val="24"/>
        </w:rPr>
        <w:t xml:space="preserve"> &amp; Stuart, 2004; Moore, Stuart, McNulty, Addis, &amp; Cordova, 2008). </w:t>
      </w:r>
      <w:r w:rsidR="00E9672A">
        <w:rPr>
          <w:rFonts w:ascii="Times New Roman" w:hAnsi="Times New Roman"/>
          <w:sz w:val="24"/>
          <w:szCs w:val="24"/>
        </w:rPr>
        <w:t xml:space="preserve">        </w:t>
      </w:r>
      <w:commentRangeEnd w:id="8"/>
      <w:r w:rsidR="00391B81">
        <w:rPr>
          <w:rStyle w:val="CommentReference"/>
        </w:rPr>
        <w:commentReference w:id="8"/>
      </w:r>
    </w:p>
    <w:p w14:paraId="5D9BC6C2" w14:textId="77777777" w:rsidR="00E934F3" w:rsidRDefault="00E934F3" w:rsidP="00984B58">
      <w:pPr>
        <w:spacing w:after="0" w:line="480" w:lineRule="auto"/>
        <w:rPr>
          <w:rFonts w:ascii="Times New Roman" w:hAnsi="Times New Roman"/>
          <w:sz w:val="24"/>
          <w:szCs w:val="24"/>
        </w:rPr>
      </w:pPr>
      <w:r>
        <w:rPr>
          <w:rFonts w:ascii="Times New Roman" w:hAnsi="Times New Roman"/>
          <w:sz w:val="24"/>
          <w:szCs w:val="24"/>
        </w:rPr>
        <w:tab/>
        <w:t xml:space="preserve">Historically, researchers have attributed attitudes of hostility toward women to societal norms. </w:t>
      </w:r>
      <w:commentRangeStart w:id="9"/>
      <w:r>
        <w:rPr>
          <w:rFonts w:ascii="Times New Roman" w:hAnsi="Times New Roman"/>
          <w:sz w:val="24"/>
          <w:szCs w:val="24"/>
        </w:rPr>
        <w:t xml:space="preserve">In her analysis of the issue, Burt (1980) examined </w:t>
      </w:r>
      <w:commentRangeEnd w:id="9"/>
      <w:r w:rsidR="00371CE5">
        <w:rPr>
          <w:rStyle w:val="CommentReference"/>
        </w:rPr>
        <w:commentReference w:id="9"/>
      </w:r>
      <w:r>
        <w:rPr>
          <w:rFonts w:ascii="Times New Roman" w:hAnsi="Times New Roman"/>
          <w:sz w:val="24"/>
          <w:szCs w:val="24"/>
        </w:rPr>
        <w:t xml:space="preserve">the conditions or attitudes that interact to shape the degree of permissiveness of one’s attitude toward rape. Her work, and the Rape Myth Acceptance Scale it subsequently produced, was central to the feminist perspective’s understanding of rape. However, recent reexamination indicates rape myth acceptance, in and of itself, is not necessarily a consistent predictor of proclivity for sexually violent behavior </w:t>
      </w:r>
      <w:commentRangeStart w:id="10"/>
      <w:r>
        <w:rPr>
          <w:rFonts w:ascii="Times New Roman" w:hAnsi="Times New Roman"/>
          <w:sz w:val="24"/>
          <w:szCs w:val="24"/>
        </w:rPr>
        <w:t>(</w:t>
      </w:r>
      <w:proofErr w:type="spellStart"/>
      <w:r>
        <w:rPr>
          <w:rFonts w:ascii="Times New Roman" w:hAnsi="Times New Roman"/>
          <w:sz w:val="24"/>
          <w:szCs w:val="24"/>
        </w:rPr>
        <w:t>Chapleau</w:t>
      </w:r>
      <w:proofErr w:type="spellEnd"/>
      <w:r w:rsidRPr="0009675B">
        <w:rPr>
          <w:rFonts w:ascii="Times New Roman" w:hAnsi="Times New Roman"/>
          <w:sz w:val="24"/>
          <w:szCs w:val="24"/>
        </w:rPr>
        <w:t xml:space="preserve"> &amp; </w:t>
      </w:r>
      <w:r w:rsidR="00324474">
        <w:rPr>
          <w:rFonts w:ascii="Times New Roman" w:hAnsi="Times New Roman"/>
          <w:sz w:val="24"/>
          <w:szCs w:val="24"/>
        </w:rPr>
        <w:t>Oswald, 2010; Hill</w:t>
      </w:r>
      <w:r>
        <w:rPr>
          <w:rFonts w:ascii="Times New Roman" w:hAnsi="Times New Roman"/>
          <w:sz w:val="24"/>
          <w:szCs w:val="24"/>
        </w:rPr>
        <w:t xml:space="preserve"> &amp; Fischer, 2001; </w:t>
      </w:r>
      <w:proofErr w:type="spellStart"/>
      <w:r>
        <w:rPr>
          <w:rFonts w:ascii="Times New Roman" w:hAnsi="Times New Roman"/>
          <w:sz w:val="24"/>
          <w:szCs w:val="24"/>
        </w:rPr>
        <w:t>Lonsway</w:t>
      </w:r>
      <w:proofErr w:type="spellEnd"/>
      <w:r>
        <w:rPr>
          <w:rFonts w:ascii="Times New Roman" w:hAnsi="Times New Roman"/>
          <w:sz w:val="24"/>
          <w:szCs w:val="24"/>
        </w:rPr>
        <w:t xml:space="preserve"> &amp; Fitzgerald, 1995).</w:t>
      </w:r>
    </w:p>
    <w:p w14:paraId="3C24E81A" w14:textId="77777777" w:rsidR="00E934F3" w:rsidRDefault="00E934F3" w:rsidP="00874C20">
      <w:pPr>
        <w:spacing w:after="0" w:line="480" w:lineRule="auto"/>
        <w:rPr>
          <w:rFonts w:ascii="Times New Roman" w:hAnsi="Times New Roman"/>
          <w:sz w:val="24"/>
          <w:szCs w:val="24"/>
        </w:rPr>
      </w:pPr>
      <w:r>
        <w:rPr>
          <w:rFonts w:ascii="Times New Roman" w:hAnsi="Times New Roman"/>
          <w:sz w:val="24"/>
          <w:szCs w:val="24"/>
        </w:rPr>
        <w:tab/>
        <w:t xml:space="preserve">In their study, </w:t>
      </w:r>
      <w:proofErr w:type="spellStart"/>
      <w:r>
        <w:rPr>
          <w:rFonts w:ascii="Times New Roman" w:hAnsi="Times New Roman"/>
          <w:sz w:val="24"/>
          <w:szCs w:val="24"/>
        </w:rPr>
        <w:t>Lonsway</w:t>
      </w:r>
      <w:proofErr w:type="spellEnd"/>
      <w:r>
        <w:rPr>
          <w:rFonts w:ascii="Times New Roman" w:hAnsi="Times New Roman"/>
          <w:sz w:val="24"/>
          <w:szCs w:val="24"/>
        </w:rPr>
        <w:t xml:space="preserve"> and Fitzgerald (1995) </w:t>
      </w:r>
      <w:commentRangeEnd w:id="10"/>
      <w:r w:rsidR="00371CE5">
        <w:rPr>
          <w:rStyle w:val="CommentReference"/>
        </w:rPr>
        <w:commentReference w:id="10"/>
      </w:r>
      <w:r>
        <w:rPr>
          <w:rFonts w:ascii="Times New Roman" w:hAnsi="Times New Roman"/>
          <w:sz w:val="24"/>
          <w:szCs w:val="24"/>
        </w:rPr>
        <w:t xml:space="preserve">found that general hostility against women emerged as a key predictor of rape myth acceptance, not vice versa, indicating that acceptance of traditional sex roles and other aspects of Burt’s Rape Myth Acceptance Scale, while certainly indicative of rape permissive attitudes, may not serve to predict violent behavior against women. Furthermore, </w:t>
      </w:r>
      <w:proofErr w:type="spellStart"/>
      <w:r>
        <w:rPr>
          <w:rFonts w:ascii="Times New Roman" w:hAnsi="Times New Roman"/>
          <w:sz w:val="24"/>
          <w:szCs w:val="24"/>
        </w:rPr>
        <w:t>Chapleau</w:t>
      </w:r>
      <w:proofErr w:type="spellEnd"/>
      <w:r>
        <w:rPr>
          <w:rFonts w:ascii="Times New Roman" w:hAnsi="Times New Roman"/>
          <w:sz w:val="24"/>
          <w:szCs w:val="24"/>
        </w:rPr>
        <w:t xml:space="preserve"> and Oswald (2010) found that rape myth acceptance often correlates with power-sex association. In a study examining the relation between masculine gender roles and </w:t>
      </w:r>
      <w:r>
        <w:rPr>
          <w:rFonts w:ascii="Times New Roman" w:hAnsi="Times New Roman"/>
          <w:sz w:val="24"/>
          <w:szCs w:val="24"/>
        </w:rPr>
        <w:lastRenderedPageBreak/>
        <w:t xml:space="preserve">rape-related attitudes and behavior, Hill and Fischer (2001) found that unhealthy entitlement often mediates the link between the two. </w:t>
      </w:r>
    </w:p>
    <w:p w14:paraId="6EE90F4D" w14:textId="77777777" w:rsidR="00E934F3" w:rsidRDefault="00E934F3" w:rsidP="007970C6">
      <w:pPr>
        <w:spacing w:after="0" w:line="480" w:lineRule="auto"/>
        <w:ind w:firstLine="720"/>
        <w:rPr>
          <w:rFonts w:ascii="Times New Roman" w:hAnsi="Times New Roman"/>
          <w:sz w:val="24"/>
          <w:szCs w:val="24"/>
        </w:rPr>
      </w:pPr>
      <w:r>
        <w:rPr>
          <w:rFonts w:ascii="Times New Roman" w:hAnsi="Times New Roman"/>
          <w:sz w:val="24"/>
          <w:szCs w:val="24"/>
        </w:rPr>
        <w:t>Synthesizing these ideas, although certain components of Burt’s theory of rape myth acceptance do seem to play a role in predicting sexually aggressive behavior toward women, these components seem to be acting in conjunction with other phenomena; to put it simply, masculine gender identity, in and of itself, does not seem to be the primary predictor of violent behavior toward women (</w:t>
      </w:r>
      <w:proofErr w:type="spellStart"/>
      <w:r>
        <w:rPr>
          <w:rFonts w:ascii="Times New Roman" w:hAnsi="Times New Roman"/>
          <w:sz w:val="24"/>
          <w:szCs w:val="24"/>
        </w:rPr>
        <w:t>Lonsway</w:t>
      </w:r>
      <w:proofErr w:type="spellEnd"/>
      <w:r>
        <w:rPr>
          <w:rFonts w:ascii="Times New Roman" w:hAnsi="Times New Roman"/>
          <w:sz w:val="24"/>
          <w:szCs w:val="24"/>
        </w:rPr>
        <w:t xml:space="preserve"> &amp; Fitzgerald, 1995; </w:t>
      </w:r>
      <w:commentRangeStart w:id="11"/>
      <w:r w:rsidRPr="008A7438">
        <w:rPr>
          <w:rFonts w:ascii="Times New Roman" w:hAnsi="Times New Roman"/>
          <w:sz w:val="24"/>
          <w:szCs w:val="24"/>
        </w:rPr>
        <w:t>M</w:t>
      </w:r>
      <w:r w:rsidR="00705F5B">
        <w:rPr>
          <w:rFonts w:ascii="Times New Roman" w:hAnsi="Times New Roman"/>
          <w:sz w:val="24"/>
          <w:szCs w:val="24"/>
        </w:rPr>
        <w:t xml:space="preserve">cDermott et al., </w:t>
      </w:r>
      <w:r>
        <w:rPr>
          <w:rFonts w:ascii="Times New Roman" w:hAnsi="Times New Roman"/>
          <w:sz w:val="24"/>
          <w:szCs w:val="24"/>
        </w:rPr>
        <w:t>2011</w:t>
      </w:r>
      <w:commentRangeEnd w:id="11"/>
      <w:r w:rsidR="00601C62">
        <w:rPr>
          <w:rStyle w:val="CommentReference"/>
        </w:rPr>
        <w:commentReference w:id="11"/>
      </w:r>
      <w:r>
        <w:rPr>
          <w:rFonts w:ascii="Times New Roman" w:hAnsi="Times New Roman"/>
          <w:sz w:val="24"/>
          <w:szCs w:val="24"/>
        </w:rPr>
        <w:t>). Rather, stress associated with the preservation of perceived masculine gender identity, otherwise known as masculine gender role stress, emerges as a consistent predictor of men’s violent acts or hostile attitudes toward women (</w:t>
      </w:r>
      <w:proofErr w:type="spellStart"/>
      <w:r>
        <w:rPr>
          <w:rFonts w:ascii="Times New Roman" w:hAnsi="Times New Roman"/>
          <w:sz w:val="24"/>
          <w:szCs w:val="24"/>
        </w:rPr>
        <w:t>Begany</w:t>
      </w:r>
      <w:proofErr w:type="spellEnd"/>
      <w:r>
        <w:rPr>
          <w:rFonts w:ascii="Times New Roman" w:hAnsi="Times New Roman"/>
          <w:sz w:val="24"/>
          <w:szCs w:val="24"/>
        </w:rPr>
        <w:t xml:space="preserve"> &amp; Millburn, 2002; Cohn &amp; </w:t>
      </w:r>
      <w:proofErr w:type="spellStart"/>
      <w:r>
        <w:rPr>
          <w:rFonts w:ascii="Times New Roman" w:hAnsi="Times New Roman"/>
          <w:sz w:val="24"/>
          <w:szCs w:val="24"/>
        </w:rPr>
        <w:t>Zeichner</w:t>
      </w:r>
      <w:proofErr w:type="spellEnd"/>
      <w:r>
        <w:rPr>
          <w:rFonts w:ascii="Times New Roman" w:hAnsi="Times New Roman"/>
          <w:sz w:val="24"/>
          <w:szCs w:val="24"/>
        </w:rPr>
        <w:t>, 200</w:t>
      </w:r>
      <w:r w:rsidR="00A24438">
        <w:rPr>
          <w:rFonts w:ascii="Times New Roman" w:hAnsi="Times New Roman"/>
          <w:sz w:val="24"/>
          <w:szCs w:val="24"/>
        </w:rPr>
        <w:t>6; Moore &amp; Stuart, 2004; Moore et al.</w:t>
      </w:r>
      <w:r>
        <w:rPr>
          <w:rFonts w:ascii="Times New Roman" w:hAnsi="Times New Roman"/>
          <w:sz w:val="24"/>
          <w:szCs w:val="24"/>
        </w:rPr>
        <w:t xml:space="preserve">, 2008). </w:t>
      </w:r>
    </w:p>
    <w:p w14:paraId="7DFCDF5A" w14:textId="77777777" w:rsidR="00B52A4F" w:rsidRDefault="00E934F3" w:rsidP="00B52A4F">
      <w:pPr>
        <w:spacing w:after="0" w:line="480" w:lineRule="auto"/>
        <w:ind w:firstLine="720"/>
        <w:rPr>
          <w:rFonts w:ascii="Times New Roman" w:hAnsi="Times New Roman"/>
          <w:sz w:val="24"/>
          <w:szCs w:val="24"/>
        </w:rPr>
      </w:pPr>
      <w:r>
        <w:rPr>
          <w:rFonts w:ascii="Times New Roman" w:hAnsi="Times New Roman"/>
          <w:sz w:val="24"/>
          <w:szCs w:val="24"/>
        </w:rPr>
        <w:t xml:space="preserve">Additionally, </w:t>
      </w:r>
      <w:commentRangeStart w:id="12"/>
      <w:r>
        <w:rPr>
          <w:rFonts w:ascii="Times New Roman" w:hAnsi="Times New Roman"/>
          <w:sz w:val="24"/>
          <w:szCs w:val="24"/>
        </w:rPr>
        <w:t>in their work on gender role journey theory, McDermott</w:t>
      </w:r>
      <w:r w:rsidR="00601C62">
        <w:rPr>
          <w:rFonts w:ascii="Times New Roman" w:hAnsi="Times New Roman"/>
          <w:sz w:val="24"/>
          <w:szCs w:val="24"/>
        </w:rPr>
        <w:t xml:space="preserve"> et al. </w:t>
      </w:r>
      <w:r>
        <w:rPr>
          <w:rFonts w:ascii="Times New Roman" w:hAnsi="Times New Roman"/>
          <w:sz w:val="24"/>
          <w:szCs w:val="24"/>
        </w:rPr>
        <w:t xml:space="preserve">(2011) found </w:t>
      </w:r>
      <w:commentRangeEnd w:id="12"/>
      <w:r w:rsidR="00363CEE">
        <w:rPr>
          <w:rStyle w:val="CommentReference"/>
        </w:rPr>
        <w:commentReference w:id="12"/>
      </w:r>
      <w:r>
        <w:rPr>
          <w:rFonts w:ascii="Times New Roman" w:hAnsi="Times New Roman"/>
          <w:sz w:val="24"/>
          <w:szCs w:val="24"/>
        </w:rPr>
        <w:t xml:space="preserve">that men in the ambivalence stage of their gender role journey development expressed more hostility toward women. Gender role journey is an emerging theory that proposes five stages of gender role development: acceptance, ambivalence, anger and confusion, activism, and integration. In the first stage, acceptance, individuals accept traditional gender roles. In the second, ambivalence, they encounter information that challenges their ideals and experience dissonance regarding their socially constructed gender identity. In the third, the anger and confusion stage, individuals begin to experience anger directed at the systematic social construction of gender, which in turn leads to activism, the fourth stage, and ideally eventual healthy integration of traditional and individual ideals regarding gender role in the fifth stage.  </w:t>
      </w:r>
      <w:commentRangeStart w:id="13"/>
      <w:r>
        <w:rPr>
          <w:rFonts w:ascii="Times New Roman" w:hAnsi="Times New Roman"/>
          <w:sz w:val="24"/>
          <w:szCs w:val="24"/>
        </w:rPr>
        <w:t>According to McDermott</w:t>
      </w:r>
      <w:r w:rsidR="00601C62">
        <w:rPr>
          <w:rFonts w:ascii="Times New Roman" w:hAnsi="Times New Roman"/>
          <w:sz w:val="24"/>
          <w:szCs w:val="24"/>
        </w:rPr>
        <w:t xml:space="preserve"> et al., </w:t>
      </w:r>
      <w:commentRangeEnd w:id="13"/>
      <w:r w:rsidR="00363CEE">
        <w:rPr>
          <w:rStyle w:val="CommentReference"/>
        </w:rPr>
        <w:commentReference w:id="13"/>
      </w:r>
      <w:r>
        <w:rPr>
          <w:rFonts w:ascii="Times New Roman" w:hAnsi="Times New Roman"/>
          <w:sz w:val="24"/>
          <w:szCs w:val="24"/>
        </w:rPr>
        <w:t xml:space="preserve">the second stage of this process, gender role ambivalence, is often the result of exposure to new information, such as feminist </w:t>
      </w:r>
      <w:proofErr w:type="gramStart"/>
      <w:r>
        <w:rPr>
          <w:rFonts w:ascii="Times New Roman" w:hAnsi="Times New Roman"/>
          <w:sz w:val="24"/>
          <w:szCs w:val="24"/>
        </w:rPr>
        <w:t>theory.</w:t>
      </w:r>
      <w:proofErr w:type="gramEnd"/>
      <w:r>
        <w:rPr>
          <w:rFonts w:ascii="Times New Roman" w:hAnsi="Times New Roman"/>
          <w:sz w:val="24"/>
          <w:szCs w:val="24"/>
        </w:rPr>
        <w:t xml:space="preserve"> </w:t>
      </w:r>
      <w:r w:rsidR="00B52A4F">
        <w:rPr>
          <w:rFonts w:ascii="Times New Roman" w:hAnsi="Times New Roman"/>
          <w:sz w:val="24"/>
          <w:szCs w:val="24"/>
        </w:rPr>
        <w:t xml:space="preserve">. . . . </w:t>
      </w:r>
    </w:p>
    <w:p w14:paraId="69116C90" w14:textId="77777777" w:rsidR="00B52A4F" w:rsidRDefault="00E934F3" w:rsidP="00B52A4F">
      <w:pPr>
        <w:spacing w:after="0" w:line="480" w:lineRule="auto"/>
        <w:rPr>
          <w:rFonts w:ascii="Times New Roman" w:hAnsi="Times New Roman"/>
          <w:sz w:val="24"/>
          <w:szCs w:val="24"/>
        </w:rPr>
      </w:pPr>
      <w:r>
        <w:rPr>
          <w:rFonts w:ascii="Times New Roman" w:hAnsi="Times New Roman"/>
          <w:sz w:val="24"/>
          <w:szCs w:val="24"/>
        </w:rPr>
        <w:lastRenderedPageBreak/>
        <w:tab/>
      </w:r>
    </w:p>
    <w:p w14:paraId="5C7ECDAB" w14:textId="77777777" w:rsidR="00E934F3" w:rsidRDefault="00E934F3" w:rsidP="00610CCC">
      <w:pPr>
        <w:jc w:val="center"/>
        <w:rPr>
          <w:rFonts w:ascii="Times New Roman" w:hAnsi="Times New Roman"/>
          <w:sz w:val="24"/>
          <w:szCs w:val="24"/>
        </w:rPr>
      </w:pPr>
      <w:commentRangeStart w:id="14"/>
      <w:r>
        <w:rPr>
          <w:rFonts w:ascii="Times New Roman" w:hAnsi="Times New Roman"/>
          <w:sz w:val="24"/>
          <w:szCs w:val="24"/>
        </w:rPr>
        <w:t>References</w:t>
      </w:r>
      <w:commentRangeEnd w:id="14"/>
      <w:r w:rsidR="00610CCC">
        <w:rPr>
          <w:rStyle w:val="CommentReference"/>
        </w:rPr>
        <w:commentReference w:id="14"/>
      </w:r>
    </w:p>
    <w:p w14:paraId="07A4EE8B" w14:textId="77777777" w:rsidR="00E934F3" w:rsidRDefault="00E934F3" w:rsidP="00636340">
      <w:pPr>
        <w:spacing w:after="0" w:line="480" w:lineRule="auto"/>
        <w:ind w:left="720" w:hanging="720"/>
        <w:rPr>
          <w:rFonts w:ascii="Times New Roman" w:hAnsi="Times New Roman"/>
          <w:sz w:val="24"/>
          <w:szCs w:val="24"/>
        </w:rPr>
      </w:pPr>
      <w:commentRangeStart w:id="15"/>
      <w:proofErr w:type="spellStart"/>
      <w:r>
        <w:rPr>
          <w:rFonts w:ascii="Times New Roman" w:hAnsi="Times New Roman"/>
          <w:sz w:val="24"/>
          <w:szCs w:val="24"/>
        </w:rPr>
        <w:t>Begany</w:t>
      </w:r>
      <w:proofErr w:type="spellEnd"/>
      <w:r>
        <w:rPr>
          <w:rFonts w:ascii="Times New Roman" w:hAnsi="Times New Roman"/>
          <w:sz w:val="24"/>
          <w:szCs w:val="24"/>
        </w:rPr>
        <w:t xml:space="preserve">, J. J., &amp; Milburn, M. A. (2002). Psychological predictors of sexual harassment: Authoritarianism, hostile sexism, and rape myths. </w:t>
      </w:r>
      <w:proofErr w:type="gramStart"/>
      <w:r w:rsidRPr="00207ADC">
        <w:rPr>
          <w:rFonts w:ascii="Times New Roman" w:hAnsi="Times New Roman"/>
          <w:i/>
          <w:sz w:val="24"/>
          <w:szCs w:val="24"/>
        </w:rPr>
        <w:t>Psychology of Men &amp; Masculinity, 3</w:t>
      </w:r>
      <w:r>
        <w:rPr>
          <w:rFonts w:ascii="Times New Roman" w:hAnsi="Times New Roman"/>
          <w:sz w:val="24"/>
          <w:szCs w:val="24"/>
        </w:rPr>
        <w:t>(2), 119-126.</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xml:space="preserve">: 10.1037/1524-9220.3.2.119 </w:t>
      </w:r>
      <w:commentRangeEnd w:id="15"/>
      <w:r w:rsidR="00D504F4">
        <w:rPr>
          <w:rStyle w:val="CommentReference"/>
        </w:rPr>
        <w:commentReference w:id="15"/>
      </w:r>
    </w:p>
    <w:p w14:paraId="5D6000AB" w14:textId="77777777" w:rsidR="00E934F3" w:rsidRDefault="00E934F3" w:rsidP="00636340">
      <w:pPr>
        <w:spacing w:after="0" w:line="480" w:lineRule="auto"/>
        <w:ind w:left="720" w:hanging="720"/>
        <w:rPr>
          <w:rFonts w:ascii="Times New Roman" w:hAnsi="Times New Roman"/>
          <w:sz w:val="24"/>
          <w:szCs w:val="24"/>
        </w:rPr>
      </w:pPr>
      <w:commentRangeStart w:id="16"/>
      <w:r>
        <w:rPr>
          <w:rFonts w:ascii="Times New Roman" w:hAnsi="Times New Roman"/>
          <w:sz w:val="24"/>
          <w:szCs w:val="24"/>
        </w:rPr>
        <w:t xml:space="preserve">Burt, M.R. </w:t>
      </w:r>
      <w:commentRangeEnd w:id="16"/>
      <w:r w:rsidR="00D504F4">
        <w:rPr>
          <w:rStyle w:val="CommentReference"/>
        </w:rPr>
        <w:commentReference w:id="16"/>
      </w:r>
      <w:r>
        <w:rPr>
          <w:rFonts w:ascii="Times New Roman" w:hAnsi="Times New Roman"/>
          <w:sz w:val="24"/>
          <w:szCs w:val="24"/>
        </w:rPr>
        <w:t xml:space="preserve">(1980). Cultural myths and supports for rape. </w:t>
      </w:r>
      <w:proofErr w:type="gramStart"/>
      <w:r w:rsidRPr="002F32F7">
        <w:rPr>
          <w:rFonts w:ascii="Times New Roman" w:hAnsi="Times New Roman"/>
          <w:i/>
          <w:sz w:val="24"/>
          <w:szCs w:val="24"/>
        </w:rPr>
        <w:t>Journal of Personality and Social Psychology, 38</w:t>
      </w:r>
      <w:r>
        <w:rPr>
          <w:rFonts w:ascii="Times New Roman" w:hAnsi="Times New Roman"/>
          <w:sz w:val="24"/>
          <w:szCs w:val="24"/>
        </w:rPr>
        <w:t>(2), 217-230.</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10.1037/0022-3514.38.2.217</w:t>
      </w:r>
    </w:p>
    <w:p w14:paraId="47068679" w14:textId="77777777" w:rsidR="00E934F3" w:rsidRDefault="00E934F3" w:rsidP="0009675B">
      <w:pPr>
        <w:spacing w:after="0" w:line="480" w:lineRule="auto"/>
        <w:ind w:left="720" w:hanging="720"/>
        <w:rPr>
          <w:rFonts w:ascii="Times New Roman" w:hAnsi="Times New Roman"/>
          <w:sz w:val="24"/>
          <w:szCs w:val="24"/>
        </w:rPr>
      </w:pPr>
      <w:commentRangeStart w:id="17"/>
      <w:proofErr w:type="spellStart"/>
      <w:r w:rsidRPr="0009675B">
        <w:rPr>
          <w:rFonts w:ascii="Times New Roman" w:hAnsi="Times New Roman"/>
          <w:sz w:val="24"/>
          <w:szCs w:val="24"/>
        </w:rPr>
        <w:t>Chapleau</w:t>
      </w:r>
      <w:proofErr w:type="spellEnd"/>
      <w:r w:rsidRPr="0009675B">
        <w:rPr>
          <w:rFonts w:ascii="Times New Roman" w:hAnsi="Times New Roman"/>
          <w:sz w:val="24"/>
          <w:szCs w:val="24"/>
        </w:rPr>
        <w:t xml:space="preserve">, K. M., &amp; Oswald, D. L. </w:t>
      </w:r>
      <w:commentRangeEnd w:id="17"/>
      <w:r w:rsidR="00D504F4">
        <w:rPr>
          <w:rStyle w:val="CommentReference"/>
        </w:rPr>
        <w:commentReference w:id="17"/>
      </w:r>
      <w:r w:rsidRPr="0009675B">
        <w:rPr>
          <w:rFonts w:ascii="Times New Roman" w:hAnsi="Times New Roman"/>
          <w:sz w:val="24"/>
          <w:szCs w:val="24"/>
        </w:rPr>
        <w:t xml:space="preserve">(2010). Power, sex, and rape myth acceptance: Testing two models of rape proclivity. </w:t>
      </w:r>
      <w:proofErr w:type="gramStart"/>
      <w:r>
        <w:rPr>
          <w:rFonts w:ascii="Times New Roman" w:hAnsi="Times New Roman"/>
          <w:i/>
          <w:iCs/>
          <w:sz w:val="24"/>
          <w:szCs w:val="24"/>
        </w:rPr>
        <w:t>Journal o</w:t>
      </w:r>
      <w:r w:rsidRPr="0009675B">
        <w:rPr>
          <w:rFonts w:ascii="Times New Roman" w:hAnsi="Times New Roman"/>
          <w:i/>
          <w:iCs/>
          <w:sz w:val="24"/>
          <w:szCs w:val="24"/>
        </w:rPr>
        <w:t>f Sex Research</w:t>
      </w:r>
      <w:r w:rsidRPr="0009675B">
        <w:rPr>
          <w:rFonts w:ascii="Times New Roman" w:hAnsi="Times New Roman"/>
          <w:sz w:val="24"/>
          <w:szCs w:val="24"/>
        </w:rPr>
        <w:t xml:space="preserve">, </w:t>
      </w:r>
      <w:r w:rsidRPr="0009675B">
        <w:rPr>
          <w:rFonts w:ascii="Times New Roman" w:hAnsi="Times New Roman"/>
          <w:i/>
          <w:iCs/>
          <w:sz w:val="24"/>
          <w:szCs w:val="24"/>
        </w:rPr>
        <w:t>47</w:t>
      </w:r>
      <w:r w:rsidRPr="0009675B">
        <w:rPr>
          <w:rFonts w:ascii="Times New Roman" w:hAnsi="Times New Roman"/>
          <w:sz w:val="24"/>
          <w:szCs w:val="24"/>
        </w:rPr>
        <w:t>(1), 66-78.</w:t>
      </w:r>
      <w:proofErr w:type="gramEnd"/>
      <w:r w:rsidRPr="0009675B">
        <w:rPr>
          <w:rFonts w:ascii="Times New Roman" w:hAnsi="Times New Roman"/>
          <w:sz w:val="24"/>
          <w:szCs w:val="24"/>
        </w:rPr>
        <w:t xml:space="preserve"> </w:t>
      </w:r>
      <w:proofErr w:type="gramStart"/>
      <w:r w:rsidRPr="0009675B">
        <w:rPr>
          <w:rFonts w:ascii="Times New Roman" w:hAnsi="Times New Roman"/>
          <w:sz w:val="24"/>
          <w:szCs w:val="24"/>
        </w:rPr>
        <w:t>doi:10.1080</w:t>
      </w:r>
      <w:proofErr w:type="gramEnd"/>
      <w:r w:rsidRPr="0009675B">
        <w:rPr>
          <w:rFonts w:ascii="Times New Roman" w:hAnsi="Times New Roman"/>
          <w:sz w:val="24"/>
          <w:szCs w:val="24"/>
        </w:rPr>
        <w:t>/00224490902954323</w:t>
      </w:r>
    </w:p>
    <w:p w14:paraId="6061AE71" w14:textId="77777777" w:rsidR="00E934F3" w:rsidRDefault="00E934F3" w:rsidP="00636340">
      <w:pPr>
        <w:spacing w:after="0" w:line="480" w:lineRule="auto"/>
        <w:ind w:left="720" w:hanging="720"/>
        <w:rPr>
          <w:rFonts w:ascii="Times New Roman" w:hAnsi="Times New Roman"/>
          <w:sz w:val="24"/>
          <w:szCs w:val="24"/>
        </w:rPr>
      </w:pPr>
      <w:r>
        <w:rPr>
          <w:rFonts w:ascii="Times New Roman" w:hAnsi="Times New Roman"/>
          <w:sz w:val="24"/>
          <w:szCs w:val="24"/>
        </w:rPr>
        <w:t xml:space="preserve">Cohn, A., &amp; </w:t>
      </w:r>
      <w:proofErr w:type="spellStart"/>
      <w:r>
        <w:rPr>
          <w:rFonts w:ascii="Times New Roman" w:hAnsi="Times New Roman"/>
          <w:sz w:val="24"/>
          <w:szCs w:val="24"/>
        </w:rPr>
        <w:t>Zeichner</w:t>
      </w:r>
      <w:proofErr w:type="spellEnd"/>
      <w:r>
        <w:rPr>
          <w:rFonts w:ascii="Times New Roman" w:hAnsi="Times New Roman"/>
          <w:sz w:val="24"/>
          <w:szCs w:val="24"/>
        </w:rPr>
        <w:t xml:space="preserve">, A. (2006). </w:t>
      </w:r>
      <w:commentRangeStart w:id="18"/>
      <w:proofErr w:type="gramStart"/>
      <w:r>
        <w:rPr>
          <w:rFonts w:ascii="Times New Roman" w:hAnsi="Times New Roman"/>
          <w:sz w:val="24"/>
          <w:szCs w:val="24"/>
        </w:rPr>
        <w:t>Effects of masculine identity and gender role stress on aggression in men.</w:t>
      </w:r>
      <w:proofErr w:type="gramEnd"/>
      <w:r>
        <w:rPr>
          <w:rFonts w:ascii="Times New Roman" w:hAnsi="Times New Roman"/>
          <w:sz w:val="24"/>
          <w:szCs w:val="24"/>
        </w:rPr>
        <w:t xml:space="preserve"> </w:t>
      </w:r>
      <w:commentRangeEnd w:id="18"/>
      <w:r w:rsidR="00D504F4">
        <w:rPr>
          <w:rStyle w:val="CommentReference"/>
        </w:rPr>
        <w:commentReference w:id="18"/>
      </w:r>
      <w:proofErr w:type="gramStart"/>
      <w:r w:rsidRPr="002F32F7">
        <w:rPr>
          <w:rFonts w:ascii="Times New Roman" w:hAnsi="Times New Roman"/>
          <w:i/>
          <w:sz w:val="24"/>
          <w:szCs w:val="24"/>
        </w:rPr>
        <w:t>Psychology of Men &amp; Masculinity, 7</w:t>
      </w:r>
      <w:r>
        <w:rPr>
          <w:rFonts w:ascii="Times New Roman" w:hAnsi="Times New Roman"/>
          <w:sz w:val="24"/>
          <w:szCs w:val="24"/>
        </w:rPr>
        <w:t>(4), 179-190.</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10.1037/1524-9220.7.4.179</w:t>
      </w:r>
    </w:p>
    <w:p w14:paraId="1E6E00C4" w14:textId="77777777" w:rsidR="00E934F3" w:rsidRDefault="00E934F3" w:rsidP="003C76CB">
      <w:pPr>
        <w:spacing w:after="0" w:line="480" w:lineRule="auto"/>
        <w:ind w:left="720" w:hanging="720"/>
        <w:rPr>
          <w:rFonts w:ascii="Times New Roman" w:hAnsi="Times New Roman"/>
          <w:sz w:val="24"/>
          <w:szCs w:val="24"/>
        </w:rPr>
      </w:pPr>
      <w:proofErr w:type="spellStart"/>
      <w:r w:rsidRPr="00EA1CA7">
        <w:rPr>
          <w:rFonts w:ascii="Times New Roman" w:hAnsi="Times New Roman"/>
          <w:sz w:val="24"/>
          <w:szCs w:val="24"/>
        </w:rPr>
        <w:t>E</w:t>
      </w:r>
      <w:r w:rsidR="001028CD">
        <w:rPr>
          <w:rFonts w:ascii="Times New Roman" w:hAnsi="Times New Roman"/>
          <w:sz w:val="24"/>
          <w:szCs w:val="24"/>
        </w:rPr>
        <w:t>isler</w:t>
      </w:r>
      <w:proofErr w:type="spellEnd"/>
      <w:r w:rsidR="001028CD">
        <w:rPr>
          <w:rFonts w:ascii="Times New Roman" w:hAnsi="Times New Roman"/>
          <w:sz w:val="24"/>
          <w:szCs w:val="24"/>
        </w:rPr>
        <w:t>, R. H. (1988). Masculine gender-role s</w:t>
      </w:r>
      <w:r w:rsidRPr="00EA1CA7">
        <w:rPr>
          <w:rFonts w:ascii="Times New Roman" w:hAnsi="Times New Roman"/>
          <w:sz w:val="24"/>
          <w:szCs w:val="24"/>
        </w:rPr>
        <w:t>tress</w:t>
      </w:r>
      <w:commentRangeStart w:id="19"/>
      <w:r w:rsidRPr="00EA1CA7">
        <w:rPr>
          <w:rFonts w:ascii="Times New Roman" w:hAnsi="Times New Roman"/>
          <w:sz w:val="24"/>
          <w:szCs w:val="24"/>
        </w:rPr>
        <w:t xml:space="preserve">: Predictor </w:t>
      </w:r>
      <w:commentRangeEnd w:id="19"/>
      <w:r w:rsidR="00D504F4">
        <w:rPr>
          <w:rStyle w:val="CommentReference"/>
        </w:rPr>
        <w:commentReference w:id="19"/>
      </w:r>
      <w:r w:rsidR="001028CD">
        <w:rPr>
          <w:rFonts w:ascii="Times New Roman" w:hAnsi="Times New Roman"/>
          <w:sz w:val="24"/>
          <w:szCs w:val="24"/>
        </w:rPr>
        <w:t>of anger, anxiety, and h</w:t>
      </w:r>
      <w:r w:rsidRPr="00EA1CA7">
        <w:rPr>
          <w:rFonts w:ascii="Times New Roman" w:hAnsi="Times New Roman"/>
          <w:sz w:val="24"/>
          <w:szCs w:val="24"/>
        </w:rPr>
        <w:t>ealth-</w:t>
      </w:r>
      <w:r w:rsidR="001028CD">
        <w:rPr>
          <w:rFonts w:ascii="Times New Roman" w:hAnsi="Times New Roman"/>
          <w:sz w:val="24"/>
          <w:szCs w:val="24"/>
        </w:rPr>
        <w:t>r</w:t>
      </w:r>
      <w:r w:rsidRPr="00EA1CA7">
        <w:rPr>
          <w:rFonts w:ascii="Times New Roman" w:hAnsi="Times New Roman"/>
          <w:sz w:val="24"/>
          <w:szCs w:val="24"/>
        </w:rPr>
        <w:t xml:space="preserve">isk </w:t>
      </w:r>
      <w:r w:rsidR="001028CD">
        <w:rPr>
          <w:rFonts w:ascii="Times New Roman" w:hAnsi="Times New Roman"/>
          <w:sz w:val="24"/>
          <w:szCs w:val="24"/>
        </w:rPr>
        <w:t>b</w:t>
      </w:r>
      <w:r w:rsidRPr="00EA1CA7">
        <w:rPr>
          <w:rFonts w:ascii="Times New Roman" w:hAnsi="Times New Roman"/>
          <w:sz w:val="24"/>
          <w:szCs w:val="24"/>
        </w:rPr>
        <w:t xml:space="preserve">ehaviors. </w:t>
      </w:r>
      <w:proofErr w:type="gramStart"/>
      <w:r>
        <w:rPr>
          <w:rFonts w:ascii="Times New Roman" w:hAnsi="Times New Roman"/>
          <w:i/>
          <w:iCs/>
          <w:sz w:val="24"/>
          <w:szCs w:val="24"/>
        </w:rPr>
        <w:t>Journal o</w:t>
      </w:r>
      <w:r w:rsidRPr="00EA1CA7">
        <w:rPr>
          <w:rFonts w:ascii="Times New Roman" w:hAnsi="Times New Roman"/>
          <w:i/>
          <w:iCs/>
          <w:sz w:val="24"/>
          <w:szCs w:val="24"/>
        </w:rPr>
        <w:t>f Personality Assessment</w:t>
      </w:r>
      <w:r w:rsidRPr="00EA1CA7">
        <w:rPr>
          <w:rFonts w:ascii="Times New Roman" w:hAnsi="Times New Roman"/>
          <w:sz w:val="24"/>
          <w:szCs w:val="24"/>
        </w:rPr>
        <w:t xml:space="preserve">, </w:t>
      </w:r>
      <w:r w:rsidRPr="00EA1CA7">
        <w:rPr>
          <w:rFonts w:ascii="Times New Roman" w:hAnsi="Times New Roman"/>
          <w:i/>
          <w:iCs/>
          <w:sz w:val="24"/>
          <w:szCs w:val="24"/>
        </w:rPr>
        <w:t>52</w:t>
      </w:r>
      <w:r w:rsidRPr="00EA1CA7">
        <w:rPr>
          <w:rFonts w:ascii="Times New Roman" w:hAnsi="Times New Roman"/>
          <w:sz w:val="24"/>
          <w:szCs w:val="24"/>
        </w:rPr>
        <w:t>(1), 133.</w:t>
      </w:r>
      <w:proofErr w:type="gramEnd"/>
      <w:r w:rsidRPr="00EA1CA7">
        <w:rPr>
          <w:rFonts w:ascii="Times New Roman" w:hAnsi="Times New Roman"/>
          <w:sz w:val="24"/>
          <w:szCs w:val="24"/>
        </w:rPr>
        <w:t xml:space="preserve"> </w:t>
      </w:r>
    </w:p>
    <w:p w14:paraId="7D201F43" w14:textId="77777777" w:rsidR="00E934F3" w:rsidRDefault="00E934F3" w:rsidP="00636340">
      <w:pPr>
        <w:spacing w:after="0" w:line="480" w:lineRule="auto"/>
        <w:ind w:left="720" w:hanging="720"/>
        <w:rPr>
          <w:rFonts w:ascii="Times New Roman" w:hAnsi="Times New Roman"/>
          <w:sz w:val="24"/>
          <w:szCs w:val="24"/>
        </w:rPr>
      </w:pPr>
      <w:r>
        <w:rPr>
          <w:rFonts w:ascii="Times New Roman" w:hAnsi="Times New Roman"/>
          <w:sz w:val="24"/>
          <w:szCs w:val="24"/>
        </w:rPr>
        <w:t xml:space="preserve">Hill, M. S., &amp; Fischer, A. R. (2001). Does entitlement mediate the link between masculinity and rape-related variables? </w:t>
      </w:r>
      <w:commentRangeStart w:id="20"/>
      <w:proofErr w:type="gramStart"/>
      <w:r w:rsidRPr="002F32F7">
        <w:rPr>
          <w:rFonts w:ascii="Times New Roman" w:hAnsi="Times New Roman"/>
          <w:i/>
          <w:sz w:val="24"/>
          <w:szCs w:val="24"/>
        </w:rPr>
        <w:t>Journal of Counseling Psychology</w:t>
      </w:r>
      <w:commentRangeEnd w:id="20"/>
      <w:r w:rsidR="00D504F4">
        <w:rPr>
          <w:rStyle w:val="CommentReference"/>
        </w:rPr>
        <w:commentReference w:id="20"/>
      </w:r>
      <w:r w:rsidRPr="002F32F7">
        <w:rPr>
          <w:rFonts w:ascii="Times New Roman" w:hAnsi="Times New Roman"/>
          <w:i/>
          <w:sz w:val="24"/>
          <w:szCs w:val="24"/>
        </w:rPr>
        <w:t>, 48</w:t>
      </w:r>
      <w:r>
        <w:rPr>
          <w:rFonts w:ascii="Times New Roman" w:hAnsi="Times New Roman"/>
          <w:sz w:val="24"/>
          <w:szCs w:val="24"/>
        </w:rPr>
        <w:t>(1), 39-50.</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10.1037/0022-0167.48.1.39</w:t>
      </w:r>
    </w:p>
    <w:p w14:paraId="545C5928" w14:textId="77777777" w:rsidR="00E934F3" w:rsidRDefault="00E934F3" w:rsidP="00636340">
      <w:pPr>
        <w:spacing w:after="0" w:line="480" w:lineRule="auto"/>
        <w:ind w:left="720" w:hanging="720"/>
        <w:rPr>
          <w:rFonts w:ascii="Times New Roman" w:hAnsi="Times New Roman"/>
          <w:sz w:val="24"/>
          <w:szCs w:val="24"/>
        </w:rPr>
      </w:pPr>
      <w:proofErr w:type="spellStart"/>
      <w:r>
        <w:rPr>
          <w:rFonts w:ascii="Times New Roman" w:hAnsi="Times New Roman"/>
          <w:sz w:val="24"/>
          <w:szCs w:val="24"/>
        </w:rPr>
        <w:t>Lonsway</w:t>
      </w:r>
      <w:proofErr w:type="spellEnd"/>
      <w:r>
        <w:rPr>
          <w:rFonts w:ascii="Times New Roman" w:hAnsi="Times New Roman"/>
          <w:sz w:val="24"/>
          <w:szCs w:val="24"/>
        </w:rPr>
        <w:t xml:space="preserve">, K. A., &amp; Fitzgerald, L. F. (1995). Attitudinal antecedents of rape myth acceptance: A theoretical and empirical reexamination. </w:t>
      </w:r>
      <w:proofErr w:type="gramStart"/>
      <w:r w:rsidRPr="00207ADC">
        <w:rPr>
          <w:rFonts w:ascii="Times New Roman" w:hAnsi="Times New Roman"/>
          <w:i/>
          <w:sz w:val="24"/>
          <w:szCs w:val="24"/>
        </w:rPr>
        <w:t xml:space="preserve">Journal of Personality and Social Psychology, </w:t>
      </w:r>
      <w:commentRangeStart w:id="21"/>
      <w:r w:rsidRPr="00207ADC">
        <w:rPr>
          <w:rFonts w:ascii="Times New Roman" w:hAnsi="Times New Roman"/>
          <w:i/>
          <w:sz w:val="24"/>
          <w:szCs w:val="24"/>
        </w:rPr>
        <w:t>68</w:t>
      </w:r>
      <w:r>
        <w:rPr>
          <w:rFonts w:ascii="Times New Roman" w:hAnsi="Times New Roman"/>
          <w:sz w:val="24"/>
          <w:szCs w:val="24"/>
        </w:rPr>
        <w:t>(4), 704-711.</w:t>
      </w:r>
      <w:proofErr w:type="gramEnd"/>
      <w:r>
        <w:rPr>
          <w:rFonts w:ascii="Times New Roman" w:hAnsi="Times New Roman"/>
          <w:sz w:val="24"/>
          <w:szCs w:val="24"/>
        </w:rPr>
        <w:t xml:space="preserve"> </w:t>
      </w:r>
      <w:commentRangeEnd w:id="21"/>
      <w:r w:rsidR="00D952B7">
        <w:rPr>
          <w:rStyle w:val="CommentReference"/>
        </w:rPr>
        <w:commentReference w:id="21"/>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10.1037/0022-3514.68.4.704</w:t>
      </w:r>
    </w:p>
    <w:p w14:paraId="75D52B45" w14:textId="77777777" w:rsidR="00E934F3" w:rsidRDefault="00E934F3" w:rsidP="001F18B5">
      <w:pPr>
        <w:spacing w:after="0" w:line="480" w:lineRule="auto"/>
        <w:ind w:left="720" w:hanging="720"/>
        <w:rPr>
          <w:rFonts w:ascii="Times New Roman" w:hAnsi="Times New Roman"/>
          <w:sz w:val="24"/>
          <w:szCs w:val="24"/>
        </w:rPr>
      </w:pPr>
      <w:proofErr w:type="gramStart"/>
      <w:r w:rsidRPr="008A7438">
        <w:rPr>
          <w:rFonts w:ascii="Times New Roman" w:hAnsi="Times New Roman"/>
          <w:sz w:val="24"/>
          <w:szCs w:val="24"/>
        </w:rPr>
        <w:t>McDermott, R. C., Schw</w:t>
      </w:r>
      <w:r>
        <w:rPr>
          <w:rFonts w:ascii="Times New Roman" w:hAnsi="Times New Roman"/>
          <w:sz w:val="24"/>
          <w:szCs w:val="24"/>
        </w:rPr>
        <w:t xml:space="preserve">artz, J. P., &amp; </w:t>
      </w:r>
      <w:proofErr w:type="spellStart"/>
      <w:r>
        <w:rPr>
          <w:rFonts w:ascii="Times New Roman" w:hAnsi="Times New Roman"/>
          <w:sz w:val="24"/>
          <w:szCs w:val="24"/>
        </w:rPr>
        <w:t>Trevathan-Minnis</w:t>
      </w:r>
      <w:proofErr w:type="spellEnd"/>
      <w:r>
        <w:rPr>
          <w:rFonts w:ascii="Times New Roman" w:hAnsi="Times New Roman"/>
          <w:sz w:val="24"/>
          <w:szCs w:val="24"/>
        </w:rPr>
        <w:t>, M. (2011</w:t>
      </w:r>
      <w:r w:rsidRPr="008A7438">
        <w:rPr>
          <w:rFonts w:ascii="Times New Roman" w:hAnsi="Times New Roman"/>
          <w:sz w:val="24"/>
          <w:szCs w:val="24"/>
        </w:rPr>
        <w:t>).</w:t>
      </w:r>
      <w:proofErr w:type="gramEnd"/>
      <w:r w:rsidRPr="008A7438">
        <w:rPr>
          <w:rFonts w:ascii="Times New Roman" w:hAnsi="Times New Roman"/>
          <w:sz w:val="24"/>
          <w:szCs w:val="24"/>
        </w:rPr>
        <w:t xml:space="preserve"> Predicting men's anger management: Relationships with gender role jou</w:t>
      </w:r>
      <w:r>
        <w:rPr>
          <w:rFonts w:ascii="Times New Roman" w:hAnsi="Times New Roman"/>
          <w:sz w:val="24"/>
          <w:szCs w:val="24"/>
        </w:rPr>
        <w:t>rney and entitlement</w:t>
      </w:r>
      <w:r w:rsidRPr="008A7438">
        <w:rPr>
          <w:rFonts w:ascii="Times New Roman" w:hAnsi="Times New Roman"/>
          <w:sz w:val="24"/>
          <w:szCs w:val="24"/>
        </w:rPr>
        <w:t xml:space="preserve">. </w:t>
      </w:r>
      <w:proofErr w:type="gramStart"/>
      <w:r w:rsidRPr="008A7438">
        <w:rPr>
          <w:rFonts w:ascii="Times New Roman" w:hAnsi="Times New Roman"/>
          <w:i/>
          <w:iCs/>
          <w:sz w:val="24"/>
          <w:szCs w:val="24"/>
        </w:rPr>
        <w:t>Psychology of Men &amp; Masculinity</w:t>
      </w:r>
      <w:r w:rsidRPr="008A7438">
        <w:rPr>
          <w:rFonts w:ascii="Times New Roman" w:hAnsi="Times New Roman"/>
          <w:sz w:val="24"/>
          <w:szCs w:val="24"/>
        </w:rPr>
        <w:t>.</w:t>
      </w:r>
      <w:proofErr w:type="gramEnd"/>
      <w:r w:rsidRPr="008A7438">
        <w:rPr>
          <w:rFonts w:ascii="Times New Roman" w:hAnsi="Times New Roman"/>
          <w:sz w:val="24"/>
          <w:szCs w:val="24"/>
        </w:rPr>
        <w:t xml:space="preserve"> </w:t>
      </w:r>
      <w:r>
        <w:rPr>
          <w:rFonts w:ascii="Times New Roman" w:hAnsi="Times New Roman"/>
          <w:sz w:val="24"/>
          <w:szCs w:val="24"/>
        </w:rPr>
        <w:t xml:space="preserve">Advance online publication. </w:t>
      </w:r>
      <w:commentRangeStart w:id="22"/>
      <w:proofErr w:type="spellStart"/>
      <w:proofErr w:type="gramStart"/>
      <w:r w:rsidRPr="008A7438">
        <w:rPr>
          <w:rFonts w:ascii="Times New Roman" w:hAnsi="Times New Roman"/>
          <w:sz w:val="24"/>
          <w:szCs w:val="24"/>
        </w:rPr>
        <w:t>doi</w:t>
      </w:r>
      <w:proofErr w:type="spellEnd"/>
      <w:proofErr w:type="gramEnd"/>
      <w:r w:rsidRPr="008A7438">
        <w:rPr>
          <w:rFonts w:ascii="Times New Roman" w:hAnsi="Times New Roman"/>
          <w:sz w:val="24"/>
          <w:szCs w:val="24"/>
        </w:rPr>
        <w:t>:</w:t>
      </w:r>
      <w:r>
        <w:rPr>
          <w:rFonts w:ascii="Times New Roman" w:hAnsi="Times New Roman"/>
          <w:sz w:val="24"/>
          <w:szCs w:val="24"/>
        </w:rPr>
        <w:t xml:space="preserve"> </w:t>
      </w:r>
      <w:r w:rsidRPr="008A7438">
        <w:rPr>
          <w:rFonts w:ascii="Times New Roman" w:hAnsi="Times New Roman"/>
          <w:sz w:val="24"/>
          <w:szCs w:val="24"/>
        </w:rPr>
        <w:t>10.1037/a0022689</w:t>
      </w:r>
      <w:commentRangeEnd w:id="22"/>
      <w:r w:rsidR="00D952B7">
        <w:rPr>
          <w:rStyle w:val="CommentReference"/>
        </w:rPr>
        <w:commentReference w:id="22"/>
      </w:r>
    </w:p>
    <w:p w14:paraId="0DE9EACF" w14:textId="77777777" w:rsidR="00E934F3" w:rsidRDefault="00E934F3" w:rsidP="001F18B5">
      <w:pPr>
        <w:spacing w:after="0" w:line="480" w:lineRule="auto"/>
        <w:ind w:left="720" w:hanging="720"/>
        <w:rPr>
          <w:rFonts w:ascii="Times New Roman" w:hAnsi="Times New Roman"/>
          <w:sz w:val="24"/>
          <w:szCs w:val="24"/>
        </w:rPr>
      </w:pPr>
      <w:commentRangeStart w:id="23"/>
      <w:r>
        <w:rPr>
          <w:rFonts w:ascii="Times New Roman" w:hAnsi="Times New Roman"/>
          <w:sz w:val="24"/>
          <w:szCs w:val="24"/>
        </w:rPr>
        <w:lastRenderedPageBreak/>
        <w:t xml:space="preserve">Moore, T. M., &amp; Stuart, G.L. (2004). </w:t>
      </w:r>
      <w:commentRangeEnd w:id="23"/>
      <w:r w:rsidR="00610CCC">
        <w:rPr>
          <w:rStyle w:val="CommentReference"/>
        </w:rPr>
        <w:commentReference w:id="23"/>
      </w:r>
      <w:proofErr w:type="gramStart"/>
      <w:r>
        <w:rPr>
          <w:rFonts w:ascii="Times New Roman" w:hAnsi="Times New Roman"/>
          <w:sz w:val="24"/>
          <w:szCs w:val="24"/>
        </w:rPr>
        <w:t>Effects of masculine gender role stress on men’s cognitive, affective, physiological, and aggressive response to intimate conflict situations.</w:t>
      </w:r>
      <w:proofErr w:type="gramEnd"/>
      <w:r>
        <w:rPr>
          <w:rFonts w:ascii="Times New Roman" w:hAnsi="Times New Roman"/>
          <w:sz w:val="24"/>
          <w:szCs w:val="24"/>
        </w:rPr>
        <w:t xml:space="preserve"> </w:t>
      </w:r>
      <w:proofErr w:type="gramStart"/>
      <w:r w:rsidRPr="00005B02">
        <w:rPr>
          <w:rFonts w:ascii="Times New Roman" w:hAnsi="Times New Roman"/>
          <w:i/>
          <w:sz w:val="24"/>
          <w:szCs w:val="24"/>
        </w:rPr>
        <w:t>Psychology of Men &amp; Masculinity, 5</w:t>
      </w:r>
      <w:r>
        <w:rPr>
          <w:rFonts w:ascii="Times New Roman" w:hAnsi="Times New Roman"/>
          <w:sz w:val="24"/>
          <w:szCs w:val="24"/>
        </w:rPr>
        <w:t>(2), 132-142.</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10.1037/1524-9220.5.2.132</w:t>
      </w:r>
    </w:p>
    <w:p w14:paraId="61E1BAAC" w14:textId="77777777" w:rsidR="00E934F3" w:rsidRDefault="00E934F3" w:rsidP="00636340">
      <w:pPr>
        <w:spacing w:after="0" w:line="480" w:lineRule="auto"/>
        <w:ind w:left="720" w:hanging="720"/>
        <w:rPr>
          <w:rFonts w:ascii="Times New Roman" w:hAnsi="Times New Roman"/>
          <w:sz w:val="24"/>
          <w:szCs w:val="24"/>
        </w:rPr>
      </w:pPr>
      <w:r>
        <w:rPr>
          <w:rFonts w:ascii="Times New Roman" w:hAnsi="Times New Roman"/>
          <w:sz w:val="24"/>
          <w:szCs w:val="24"/>
        </w:rPr>
        <w:t xml:space="preserve">Moore, T. M., Stuart, G. L., McNulty, J. K., Addis, M. E., &amp; Cordova, J. V. (2008). </w:t>
      </w:r>
      <w:proofErr w:type="gramStart"/>
      <w:r>
        <w:rPr>
          <w:rFonts w:ascii="Times New Roman" w:hAnsi="Times New Roman"/>
          <w:sz w:val="24"/>
          <w:szCs w:val="24"/>
        </w:rPr>
        <w:t>Domains of masculine gender role stress and intimate partner violence in a clinical sample of violent men.</w:t>
      </w:r>
      <w:proofErr w:type="gramEnd"/>
      <w:r>
        <w:rPr>
          <w:rFonts w:ascii="Times New Roman" w:hAnsi="Times New Roman"/>
          <w:sz w:val="24"/>
          <w:szCs w:val="24"/>
        </w:rPr>
        <w:t xml:space="preserve"> </w:t>
      </w:r>
      <w:proofErr w:type="gramStart"/>
      <w:r w:rsidRPr="002F32F7">
        <w:rPr>
          <w:rFonts w:ascii="Times New Roman" w:hAnsi="Times New Roman"/>
          <w:i/>
          <w:sz w:val="24"/>
          <w:szCs w:val="24"/>
        </w:rPr>
        <w:t>Psychology of Men and Masculinity, 9</w:t>
      </w:r>
      <w:r>
        <w:rPr>
          <w:rFonts w:ascii="Times New Roman" w:hAnsi="Times New Roman"/>
          <w:sz w:val="24"/>
          <w:szCs w:val="24"/>
        </w:rPr>
        <w:t>(2), 82-89.</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10.1037/1524-9220.9.2.82</w:t>
      </w:r>
    </w:p>
    <w:p w14:paraId="2BC35085" w14:textId="77777777" w:rsidR="00E934F3" w:rsidRPr="006D12C8" w:rsidRDefault="00E934F3" w:rsidP="00636340">
      <w:pPr>
        <w:spacing w:after="0" w:line="480" w:lineRule="auto"/>
        <w:ind w:left="720" w:hanging="720"/>
        <w:rPr>
          <w:rFonts w:ascii="Times New Roman" w:hAnsi="Times New Roman"/>
          <w:sz w:val="24"/>
          <w:szCs w:val="24"/>
        </w:rPr>
      </w:pPr>
      <w:r w:rsidRPr="00C53964">
        <w:rPr>
          <w:rFonts w:ascii="Times New Roman" w:hAnsi="Times New Roman"/>
          <w:sz w:val="24"/>
          <w:szCs w:val="24"/>
        </w:rPr>
        <w:t xml:space="preserve">O'Neil, J. M., Egan, J., Owen, S. V., &amp; </w:t>
      </w:r>
      <w:proofErr w:type="spellStart"/>
      <w:r w:rsidRPr="00C53964">
        <w:rPr>
          <w:rFonts w:ascii="Times New Roman" w:hAnsi="Times New Roman"/>
          <w:sz w:val="24"/>
          <w:szCs w:val="24"/>
        </w:rPr>
        <w:t>Murry</w:t>
      </w:r>
      <w:proofErr w:type="spellEnd"/>
      <w:r w:rsidRPr="00C53964">
        <w:rPr>
          <w:rFonts w:ascii="Times New Roman" w:hAnsi="Times New Roman"/>
          <w:sz w:val="24"/>
          <w:szCs w:val="24"/>
        </w:rPr>
        <w:t xml:space="preserve">, V. (1993). </w:t>
      </w:r>
      <w:r w:rsidR="003A4ACD">
        <w:rPr>
          <w:rFonts w:ascii="Times New Roman" w:hAnsi="Times New Roman"/>
          <w:sz w:val="24"/>
          <w:szCs w:val="24"/>
        </w:rPr>
        <w:t>T</w:t>
      </w:r>
      <w:r w:rsidR="003A4ACD" w:rsidRPr="00C53964">
        <w:rPr>
          <w:rFonts w:ascii="Times New Roman" w:hAnsi="Times New Roman"/>
          <w:sz w:val="24"/>
          <w:szCs w:val="24"/>
        </w:rPr>
        <w:t>h</w:t>
      </w:r>
      <w:r w:rsidR="003A4ACD">
        <w:rPr>
          <w:rFonts w:ascii="Times New Roman" w:hAnsi="Times New Roman"/>
          <w:sz w:val="24"/>
          <w:szCs w:val="24"/>
        </w:rPr>
        <w:t>e gender role journey measure: S</w:t>
      </w:r>
      <w:r w:rsidR="003A4ACD" w:rsidRPr="00C53964">
        <w:rPr>
          <w:rFonts w:ascii="Times New Roman" w:hAnsi="Times New Roman"/>
          <w:sz w:val="24"/>
          <w:szCs w:val="24"/>
        </w:rPr>
        <w:t>cale development and psychometric evaluation</w:t>
      </w:r>
      <w:r w:rsidRPr="00C53964">
        <w:rPr>
          <w:rFonts w:ascii="Times New Roman" w:hAnsi="Times New Roman"/>
          <w:sz w:val="24"/>
          <w:szCs w:val="24"/>
        </w:rPr>
        <w:t xml:space="preserve">. </w:t>
      </w:r>
      <w:proofErr w:type="gramStart"/>
      <w:r w:rsidRPr="00C53964">
        <w:rPr>
          <w:rFonts w:ascii="Times New Roman" w:hAnsi="Times New Roman"/>
          <w:i/>
          <w:iCs/>
          <w:sz w:val="24"/>
          <w:szCs w:val="24"/>
        </w:rPr>
        <w:t>Sex Roles</w:t>
      </w:r>
      <w:r w:rsidRPr="00C53964">
        <w:rPr>
          <w:rFonts w:ascii="Times New Roman" w:hAnsi="Times New Roman"/>
          <w:sz w:val="24"/>
          <w:szCs w:val="24"/>
        </w:rPr>
        <w:t xml:space="preserve">, </w:t>
      </w:r>
      <w:r w:rsidRPr="00C53964">
        <w:rPr>
          <w:rFonts w:ascii="Times New Roman" w:hAnsi="Times New Roman"/>
          <w:i/>
          <w:iCs/>
          <w:sz w:val="24"/>
          <w:szCs w:val="24"/>
        </w:rPr>
        <w:t>28</w:t>
      </w:r>
      <w:r w:rsidRPr="00C53964">
        <w:rPr>
          <w:rFonts w:ascii="Times New Roman" w:hAnsi="Times New Roman"/>
          <w:sz w:val="24"/>
          <w:szCs w:val="24"/>
        </w:rPr>
        <w:t>(3/4), 167-185.</w:t>
      </w:r>
      <w:proofErr w:type="gramEnd"/>
    </w:p>
    <w:sectPr w:rsidR="00E934F3" w:rsidRPr="006D12C8" w:rsidSect="00E21306">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Y" w:date="2017-11-07T09:59:00Z" w:initials="M">
    <w:p w14:paraId="7EF4D7B4" w14:textId="77777777" w:rsidR="00A30DAD" w:rsidRDefault="003A4ACD" w:rsidP="003A4ACD">
      <w:pPr>
        <w:pStyle w:val="BalloonText"/>
      </w:pPr>
      <w:r>
        <w:rPr>
          <w:rStyle w:val="CommentReference"/>
        </w:rPr>
        <w:annotationRef/>
      </w:r>
      <w:r w:rsidR="006E340B">
        <w:t xml:space="preserve"> </w:t>
      </w:r>
      <w:r w:rsidR="00A30DAD" w:rsidRPr="00875949">
        <w:t xml:space="preserve">Create a header that consists of </w:t>
      </w:r>
      <w:r w:rsidR="00A30DAD">
        <w:t xml:space="preserve">the </w:t>
      </w:r>
      <w:r w:rsidR="00A30DAD" w:rsidRPr="006E340B">
        <w:rPr>
          <w:b/>
        </w:rPr>
        <w:t>running head</w:t>
      </w:r>
      <w:r w:rsidR="00A30DAD">
        <w:t xml:space="preserve"> at </w:t>
      </w:r>
      <w:r w:rsidR="00A30DAD" w:rsidRPr="00875949">
        <w:t>the left margin</w:t>
      </w:r>
      <w:r w:rsidR="00324474">
        <w:t xml:space="preserve">, and page number at </w:t>
      </w:r>
      <w:r w:rsidR="00A30DAD">
        <w:t>right margin</w:t>
      </w:r>
      <w:r w:rsidR="00A30DAD" w:rsidRPr="00875949">
        <w:t>.</w:t>
      </w:r>
    </w:p>
    <w:p w14:paraId="120408FB" w14:textId="77777777" w:rsidR="00A30DAD" w:rsidRDefault="00A30DAD" w:rsidP="003A4ACD">
      <w:pPr>
        <w:pStyle w:val="BalloonText"/>
      </w:pPr>
    </w:p>
    <w:p w14:paraId="3FD950F0" w14:textId="77777777" w:rsidR="003A4ACD" w:rsidRDefault="00A30DAD" w:rsidP="003A4ACD">
      <w:pPr>
        <w:pStyle w:val="BalloonText"/>
      </w:pPr>
      <w:r w:rsidRPr="00875949">
        <w:t xml:space="preserve">The </w:t>
      </w:r>
      <w:r w:rsidRPr="00A30DAD">
        <w:t>running head</w:t>
      </w:r>
      <w:r w:rsidRPr="00875949">
        <w:t xml:space="preserve"> is a shortened version of the </w:t>
      </w:r>
      <w:r>
        <w:t xml:space="preserve">paper’s </w:t>
      </w:r>
      <w:r w:rsidRPr="00875949">
        <w:t>title, typed in all capital letters</w:t>
      </w:r>
      <w:r>
        <w:t>, and appearing on ALL pages of the paper</w:t>
      </w:r>
      <w:r w:rsidRPr="00875949">
        <w:t xml:space="preserve">. </w:t>
      </w:r>
      <w:r>
        <w:t xml:space="preserve">The running head should not exceed 50 characters. </w:t>
      </w:r>
    </w:p>
    <w:p w14:paraId="0F02D32B" w14:textId="77777777" w:rsidR="00A30DAD" w:rsidRDefault="00A30DAD" w:rsidP="003A4ACD">
      <w:pPr>
        <w:pStyle w:val="BalloonText"/>
        <w:rPr>
          <w:b/>
        </w:rPr>
      </w:pPr>
    </w:p>
    <w:p w14:paraId="7A6BD323" w14:textId="77777777" w:rsidR="00324474" w:rsidRDefault="003A4ACD" w:rsidP="003A4ACD">
      <w:pPr>
        <w:pStyle w:val="BalloonText"/>
      </w:pPr>
      <w:r w:rsidRPr="00964027">
        <w:rPr>
          <w:b/>
        </w:rPr>
        <w:t>On the title page only</w:t>
      </w:r>
      <w:r>
        <w:t>, precede the</w:t>
      </w:r>
      <w:r w:rsidRPr="00875949">
        <w:t xml:space="preserve"> title with the words “Running head” </w:t>
      </w:r>
      <w:r>
        <w:t xml:space="preserve">(without quotation marks) </w:t>
      </w:r>
      <w:r w:rsidR="00324474">
        <w:t xml:space="preserve">and a colon. </w:t>
      </w:r>
    </w:p>
    <w:p w14:paraId="158FE09A" w14:textId="77777777" w:rsidR="00324474" w:rsidRDefault="00324474" w:rsidP="003A4ACD">
      <w:pPr>
        <w:pStyle w:val="BalloonText"/>
      </w:pPr>
    </w:p>
    <w:p w14:paraId="4BA8233A" w14:textId="77777777" w:rsidR="003A4ACD" w:rsidRDefault="00324474" w:rsidP="003A4ACD">
      <w:pPr>
        <w:pStyle w:val="BalloonText"/>
      </w:pPr>
      <w:r>
        <w:t>Subsequent pages do NOT</w:t>
      </w:r>
      <w:r w:rsidR="003A4ACD" w:rsidRPr="00875949">
        <w:t xml:space="preserve"> have ‘Run</w:t>
      </w:r>
      <w:r>
        <w:t>ning head” preceding the title.</w:t>
      </w:r>
    </w:p>
    <w:p w14:paraId="0C5C3327" w14:textId="77777777" w:rsidR="00A30DAD" w:rsidRDefault="00A30DAD" w:rsidP="003A4ACD">
      <w:pPr>
        <w:pStyle w:val="BalloonText"/>
      </w:pPr>
    </w:p>
    <w:p w14:paraId="482312CB" w14:textId="77777777" w:rsidR="00A30DAD" w:rsidRDefault="00A30DAD" w:rsidP="003A4ACD">
      <w:pPr>
        <w:pStyle w:val="BalloonText"/>
      </w:pPr>
    </w:p>
  </w:comment>
  <w:comment w:id="1" w:author="MARY" w:date="2016-11-02T15:50:00Z" w:initials="M">
    <w:p w14:paraId="0494D55C" w14:textId="77777777" w:rsidR="003A4ACD" w:rsidRDefault="003A4ACD" w:rsidP="003A4ACD">
      <w:pPr>
        <w:pStyle w:val="BalloonText"/>
      </w:pPr>
      <w:r>
        <w:rPr>
          <w:rStyle w:val="CommentReference"/>
        </w:rPr>
        <w:annotationRef/>
      </w:r>
      <w:r>
        <w:t xml:space="preserve">The paper’s full title (in title case), the author’s name, and school </w:t>
      </w:r>
      <w:r w:rsidR="006E340B">
        <w:t xml:space="preserve">name </w:t>
      </w:r>
      <w:r>
        <w:t xml:space="preserve">appear in the top ½ of the page, centered. </w:t>
      </w:r>
    </w:p>
    <w:p w14:paraId="5CC9D534" w14:textId="77777777" w:rsidR="003A4ACD" w:rsidRDefault="003A4ACD" w:rsidP="003A4ACD">
      <w:pPr>
        <w:pStyle w:val="CommentText"/>
      </w:pPr>
    </w:p>
    <w:p w14:paraId="4605213A" w14:textId="77777777" w:rsidR="003A4ACD" w:rsidRDefault="003A4ACD" w:rsidP="003A4ACD">
      <w:pPr>
        <w:pStyle w:val="BalloonText"/>
      </w:pPr>
      <w:r w:rsidRPr="004110D7">
        <w:t>Double</w:t>
      </w:r>
      <w:r>
        <w:t>-space all text on the title page and throughout the paper.</w:t>
      </w:r>
    </w:p>
    <w:p w14:paraId="4DD89924" w14:textId="77777777" w:rsidR="003A4ACD" w:rsidRDefault="003A4ACD" w:rsidP="003A4ACD">
      <w:pPr>
        <w:pStyle w:val="CommentText"/>
      </w:pPr>
    </w:p>
    <w:p w14:paraId="0977E993" w14:textId="77777777" w:rsidR="003A4ACD" w:rsidRDefault="003A4ACD" w:rsidP="003A4ACD">
      <w:pPr>
        <w:pStyle w:val="BalloonText"/>
      </w:pPr>
      <w:r>
        <w:t>Use 12 pt. Times New Roman font.</w:t>
      </w:r>
    </w:p>
  </w:comment>
  <w:comment w:id="3" w:author="Mary Waguespack" w:date="2012-11-26T19:41:00Z" w:initials="MW">
    <w:p w14:paraId="58486AAB" w14:textId="77777777" w:rsidR="005E4C69" w:rsidRDefault="005E4C69" w:rsidP="004110D7">
      <w:pPr>
        <w:pStyle w:val="BalloonText"/>
      </w:pPr>
      <w:r>
        <w:rPr>
          <w:rStyle w:val="CommentReference"/>
        </w:rPr>
        <w:annotationRef/>
      </w:r>
      <w:r>
        <w:t>Some instructors require an Author Note, placed near the bottom of the title page and titled “Author Note” (without quotation marks), telling that the paper was prepared for a certain course or giving other information about the course or department. Most undergraduate papers do not use an Author Note.</w:t>
      </w:r>
    </w:p>
  </w:comment>
  <w:comment w:id="4" w:author="Mary Waguespack" w:date="2016-11-02T15:56:00Z" w:initials="MW">
    <w:p w14:paraId="6D30F9C9" w14:textId="77777777" w:rsidR="00F010CD" w:rsidRDefault="00FE78D6" w:rsidP="004110D7">
      <w:pPr>
        <w:pStyle w:val="BalloonText"/>
      </w:pPr>
      <w:r>
        <w:rPr>
          <w:rStyle w:val="CommentReference"/>
        </w:rPr>
        <w:annotationRef/>
      </w:r>
      <w:r w:rsidR="00F010CD">
        <w:t xml:space="preserve">The </w:t>
      </w:r>
      <w:r w:rsidR="00F010CD" w:rsidRPr="00A30DAD">
        <w:rPr>
          <w:b/>
        </w:rPr>
        <w:t>a</w:t>
      </w:r>
      <w:r w:rsidRPr="00A30DAD">
        <w:rPr>
          <w:b/>
        </w:rPr>
        <w:t xml:space="preserve">bstract </w:t>
      </w:r>
      <w:r>
        <w:t>appears on page two and presents a concise, informative summary of the paper, usua</w:t>
      </w:r>
      <w:r w:rsidR="00F010CD">
        <w:t>lly between 150-200 words.</w:t>
      </w:r>
    </w:p>
    <w:p w14:paraId="0AEB81CB" w14:textId="77777777" w:rsidR="00F010CD" w:rsidRDefault="00F010CD">
      <w:pPr>
        <w:pStyle w:val="CommentText"/>
      </w:pPr>
    </w:p>
    <w:p w14:paraId="07DF0046" w14:textId="77777777" w:rsidR="00FE78D6" w:rsidRDefault="00F010CD" w:rsidP="004110D7">
      <w:pPr>
        <w:pStyle w:val="BalloonText"/>
      </w:pPr>
      <w:r>
        <w:t xml:space="preserve">Type </w:t>
      </w:r>
      <w:r w:rsidR="00FE78D6">
        <w:t>“Abst</w:t>
      </w:r>
      <w:r>
        <w:t>ract” (without quotation marks) on the first line of this page, centered.</w:t>
      </w:r>
    </w:p>
  </w:comment>
  <w:comment w:id="5" w:author="Mary Waguespack" w:date="2012-11-26T19:41:00Z" w:initials="MW">
    <w:p w14:paraId="111A2166" w14:textId="77777777" w:rsidR="00FE78D6" w:rsidRDefault="00FE78D6" w:rsidP="004110D7">
      <w:pPr>
        <w:pStyle w:val="BalloonText"/>
      </w:pPr>
      <w:r>
        <w:rPr>
          <w:rStyle w:val="CommentReference"/>
        </w:rPr>
        <w:annotationRef/>
      </w:r>
      <w:r>
        <w:t xml:space="preserve">Do not indent the first line of the abstract paragraph.   </w:t>
      </w:r>
    </w:p>
  </w:comment>
  <w:comment w:id="6" w:author="Mary Waguespack" w:date="2016-11-02T15:57:00Z" w:initials="MW">
    <w:p w14:paraId="328000BA" w14:textId="77777777" w:rsidR="00646ADB" w:rsidRDefault="00646ADB" w:rsidP="004110D7">
      <w:pPr>
        <w:pStyle w:val="BalloonText"/>
      </w:pPr>
      <w:r>
        <w:rPr>
          <w:rStyle w:val="CommentReference"/>
        </w:rPr>
        <w:annotationRef/>
      </w:r>
      <w:r>
        <w:t xml:space="preserve"> </w:t>
      </w:r>
      <w:r w:rsidR="00F010CD">
        <w:t>The body starts on page three. Type the full title</w:t>
      </w:r>
      <w:r w:rsidR="00A30DAD">
        <w:t xml:space="preserve"> again</w:t>
      </w:r>
      <w:r w:rsidR="00F010CD">
        <w:t>, centered, on the first line of this page.</w:t>
      </w:r>
    </w:p>
  </w:comment>
  <w:comment w:id="7" w:author="MARY" w:date="2012-11-26T19:41:00Z" w:initials="M">
    <w:p w14:paraId="73A89BA9" w14:textId="77777777" w:rsidR="00391B81" w:rsidRDefault="00391B81" w:rsidP="004110D7">
      <w:pPr>
        <w:pStyle w:val="BalloonText"/>
      </w:pPr>
      <w:r>
        <w:rPr>
          <w:rStyle w:val="CommentReference"/>
        </w:rPr>
        <w:annotationRef/>
      </w:r>
      <w:r>
        <w:t>Indent paragraphs ½ inch (one tab).</w:t>
      </w:r>
    </w:p>
  </w:comment>
  <w:comment w:id="8" w:author="MARY" w:date="2017-11-07T10:01:00Z" w:initials="M">
    <w:p w14:paraId="26689629" w14:textId="77777777" w:rsidR="00A30DAD" w:rsidRDefault="00391B81" w:rsidP="004110D7">
      <w:pPr>
        <w:pStyle w:val="BalloonText"/>
        <w:rPr>
          <w:b/>
        </w:rPr>
      </w:pPr>
      <w:r>
        <w:rPr>
          <w:rStyle w:val="CommentReference"/>
        </w:rPr>
        <w:annotationRef/>
      </w:r>
      <w:r w:rsidR="00A30DAD">
        <w:rPr>
          <w:b/>
        </w:rPr>
        <w:t>Author-Date citation style.</w:t>
      </w:r>
    </w:p>
    <w:p w14:paraId="15556ECD" w14:textId="77777777" w:rsidR="00A30DAD" w:rsidRDefault="00A30DAD" w:rsidP="004110D7">
      <w:pPr>
        <w:pStyle w:val="BalloonText"/>
        <w:rPr>
          <w:b/>
        </w:rPr>
      </w:pPr>
    </w:p>
    <w:p w14:paraId="09886207" w14:textId="77777777" w:rsidR="00391B81" w:rsidRDefault="00371CE5" w:rsidP="004110D7">
      <w:pPr>
        <w:pStyle w:val="BalloonText"/>
      </w:pPr>
      <w:r w:rsidRPr="00371CE5">
        <w:rPr>
          <w:b/>
        </w:rPr>
        <w:t>W</w:t>
      </w:r>
      <w:r w:rsidR="00391B81" w:rsidRPr="00371CE5">
        <w:rPr>
          <w:b/>
        </w:rPr>
        <w:t>hen the author is not named in the sentence</w:t>
      </w:r>
      <w:r w:rsidR="00324474">
        <w:t xml:space="preserve">, give the author’s </w:t>
      </w:r>
      <w:proofErr w:type="spellStart"/>
      <w:r w:rsidR="00324474">
        <w:t>lsat</w:t>
      </w:r>
      <w:proofErr w:type="spellEnd"/>
      <w:r w:rsidR="00324474">
        <w:t xml:space="preserve"> name</w:t>
      </w:r>
      <w:r w:rsidR="00391B81">
        <w:t xml:space="preserve"> and year of publication in parenthes</w:t>
      </w:r>
      <w:r w:rsidR="00324474">
        <w:t>es. Separate</w:t>
      </w:r>
      <w:r w:rsidR="00391B81">
        <w:t xml:space="preserve"> name and date with a comma.</w:t>
      </w:r>
    </w:p>
    <w:p w14:paraId="502558D2" w14:textId="77777777" w:rsidR="00371CE5" w:rsidRDefault="00371CE5">
      <w:pPr>
        <w:pStyle w:val="CommentText"/>
      </w:pPr>
    </w:p>
    <w:p w14:paraId="43CD458F" w14:textId="77777777" w:rsidR="00371CE5" w:rsidRDefault="00371CE5" w:rsidP="004110D7">
      <w:pPr>
        <w:pStyle w:val="BalloonText"/>
      </w:pPr>
      <w:r>
        <w:t xml:space="preserve">To cite </w:t>
      </w:r>
      <w:r w:rsidRPr="00324474">
        <w:rPr>
          <w:b/>
        </w:rPr>
        <w:t>two or more works within a single parentheses</w:t>
      </w:r>
      <w:r>
        <w:t xml:space="preserve">, order them alphabetically (as </w:t>
      </w:r>
      <w:r w:rsidRPr="004110D7">
        <w:t>they</w:t>
      </w:r>
      <w:r>
        <w:t xml:space="preserve"> are ordered in the references list).</w:t>
      </w:r>
    </w:p>
  </w:comment>
  <w:comment w:id="9" w:author="MARY" w:date="2017-11-07T10:02:00Z" w:initials="M">
    <w:p w14:paraId="34F24D8D" w14:textId="77777777" w:rsidR="00371CE5" w:rsidRDefault="00371CE5" w:rsidP="004110D7">
      <w:pPr>
        <w:pStyle w:val="BalloonText"/>
      </w:pPr>
      <w:r>
        <w:rPr>
          <w:rStyle w:val="CommentReference"/>
        </w:rPr>
        <w:annotationRef/>
      </w:r>
      <w:r w:rsidRPr="00371CE5">
        <w:rPr>
          <w:b/>
        </w:rPr>
        <w:t>When the author is named in the sentence</w:t>
      </w:r>
      <w:r w:rsidR="00324474">
        <w:rPr>
          <w:b/>
        </w:rPr>
        <w:t xml:space="preserve">, </w:t>
      </w:r>
      <w:r>
        <w:t>place the year in parentheses following the name.</w:t>
      </w:r>
    </w:p>
  </w:comment>
  <w:comment w:id="10" w:author="MARY" w:date="2017-11-07T10:03:00Z" w:initials="M">
    <w:p w14:paraId="4E95E274" w14:textId="77777777" w:rsidR="00371CE5" w:rsidRDefault="00371CE5" w:rsidP="004110D7">
      <w:pPr>
        <w:pStyle w:val="BalloonText"/>
      </w:pPr>
      <w:r>
        <w:rPr>
          <w:rStyle w:val="CommentReference"/>
        </w:rPr>
        <w:annotationRef/>
      </w:r>
      <w:r>
        <w:t xml:space="preserve">When a work has </w:t>
      </w:r>
      <w:r w:rsidRPr="00A30DAD">
        <w:rPr>
          <w:b/>
        </w:rPr>
        <w:t>two authors,</w:t>
      </w:r>
      <w:r>
        <w:t xml:space="preserve"> cite both names every time the reference occurs.</w:t>
      </w:r>
      <w:r w:rsidR="000A1AF0">
        <w:t xml:space="preserve"> Separate names </w:t>
      </w:r>
      <w:r w:rsidR="00324474">
        <w:t xml:space="preserve">by using ‘and’ in a signal phrase and </w:t>
      </w:r>
      <w:r w:rsidR="000A1AF0">
        <w:t>by using</w:t>
      </w:r>
      <w:r>
        <w:t xml:space="preserve"> ‘&amp;’ in t</w:t>
      </w:r>
      <w:r w:rsidR="00324474">
        <w:t xml:space="preserve">he parentheses. </w:t>
      </w:r>
    </w:p>
    <w:p w14:paraId="671D59E0" w14:textId="77777777" w:rsidR="00F73CB5" w:rsidRDefault="00F73CB5" w:rsidP="004110D7">
      <w:pPr>
        <w:pStyle w:val="BalloonText"/>
      </w:pPr>
    </w:p>
    <w:p w14:paraId="6C0DC921" w14:textId="77777777" w:rsidR="00F73CB5" w:rsidRDefault="00F73CB5" w:rsidP="004110D7">
      <w:pPr>
        <w:pStyle w:val="BalloonText"/>
      </w:pPr>
      <w:r>
        <w:t xml:space="preserve">Multiple author names always appear in </w:t>
      </w:r>
      <w:r w:rsidRPr="00F73CB5">
        <w:rPr>
          <w:b/>
        </w:rPr>
        <w:t>order of authorship,</w:t>
      </w:r>
      <w:r>
        <w:t xml:space="preserve"> not alphabetically.</w:t>
      </w:r>
    </w:p>
  </w:comment>
  <w:comment w:id="11" w:author="Mary Waguespack" w:date="2017-11-07T10:05:00Z" w:initials="MW">
    <w:p w14:paraId="67E9E043" w14:textId="77777777" w:rsidR="00705F5B" w:rsidRDefault="00601C62" w:rsidP="004110D7">
      <w:pPr>
        <w:pStyle w:val="BalloonText"/>
      </w:pPr>
      <w:r>
        <w:rPr>
          <w:rStyle w:val="CommentReference"/>
        </w:rPr>
        <w:annotationRef/>
      </w:r>
      <w:r w:rsidR="00324474">
        <w:t>For a work with</w:t>
      </w:r>
      <w:r w:rsidR="00705F5B">
        <w:t xml:space="preserve"> </w:t>
      </w:r>
      <w:r w:rsidR="00705F5B" w:rsidRPr="00A30DAD">
        <w:rPr>
          <w:b/>
        </w:rPr>
        <w:t>3 to 5 authors</w:t>
      </w:r>
      <w:r w:rsidR="00705F5B">
        <w:t>, give</w:t>
      </w:r>
      <w:r>
        <w:t xml:space="preserve"> all authors</w:t>
      </w:r>
      <w:r w:rsidR="00705F5B">
        <w:t>’ names</w:t>
      </w:r>
      <w:r>
        <w:t xml:space="preserve"> in the first reference to the work.</w:t>
      </w:r>
      <w:r w:rsidR="00705F5B">
        <w:t xml:space="preserve"> (See</w:t>
      </w:r>
      <w:r w:rsidR="00275473">
        <w:t xml:space="preserve"> example at </w:t>
      </w:r>
      <w:r w:rsidR="00705F5B">
        <w:t xml:space="preserve">Comment M8 on the previous page.)  </w:t>
      </w:r>
    </w:p>
    <w:p w14:paraId="124D4C20" w14:textId="77777777" w:rsidR="00324474" w:rsidRDefault="00324474" w:rsidP="004110D7">
      <w:pPr>
        <w:pStyle w:val="BalloonText"/>
      </w:pPr>
    </w:p>
    <w:p w14:paraId="3A6E1CAD" w14:textId="77777777" w:rsidR="00AF15BE" w:rsidRDefault="00705F5B" w:rsidP="004110D7">
      <w:pPr>
        <w:pStyle w:val="BalloonText"/>
      </w:pPr>
      <w:r>
        <w:t>In subsequent references (as in this example) include the name of the first author only</w:t>
      </w:r>
      <w:r w:rsidR="00324474">
        <w:t xml:space="preserve">, followed by </w:t>
      </w:r>
      <w:r w:rsidR="00324474" w:rsidRPr="00324474">
        <w:rPr>
          <w:i/>
        </w:rPr>
        <w:t>et al.</w:t>
      </w:r>
      <w:r w:rsidRPr="00324474">
        <w:rPr>
          <w:i/>
        </w:rPr>
        <w:t>,</w:t>
      </w:r>
      <w:r>
        <w:t xml:space="preserve"> meaning </w:t>
      </w:r>
      <w:r w:rsidRPr="00AF15BE">
        <w:rPr>
          <w:i/>
        </w:rPr>
        <w:t>and others</w:t>
      </w:r>
      <w:r>
        <w:t>.</w:t>
      </w:r>
    </w:p>
    <w:p w14:paraId="2D4EE367" w14:textId="77777777" w:rsidR="00AF15BE" w:rsidRDefault="00AF15BE">
      <w:pPr>
        <w:pStyle w:val="CommentText"/>
      </w:pPr>
    </w:p>
    <w:p w14:paraId="4676B5FE" w14:textId="77777777" w:rsidR="00601C62" w:rsidRDefault="00A30DAD" w:rsidP="004110D7">
      <w:pPr>
        <w:pStyle w:val="BalloonText"/>
      </w:pPr>
      <w:r>
        <w:t xml:space="preserve">When a </w:t>
      </w:r>
      <w:r w:rsidR="00AF15BE">
        <w:t>w</w:t>
      </w:r>
      <w:r>
        <w:t xml:space="preserve">ork has </w:t>
      </w:r>
      <w:r w:rsidR="00705F5B" w:rsidRPr="00A30DAD">
        <w:rPr>
          <w:b/>
        </w:rPr>
        <w:t>6 or more authors,</w:t>
      </w:r>
      <w:r w:rsidR="00705F5B">
        <w:t xml:space="preserve"> use</w:t>
      </w:r>
      <w:r w:rsidR="001C26FF">
        <w:t xml:space="preserve"> </w:t>
      </w:r>
      <w:r w:rsidR="00AF15BE">
        <w:t xml:space="preserve">the name of the first author </w:t>
      </w:r>
      <w:r w:rsidR="00705F5B">
        <w:t xml:space="preserve">only, </w:t>
      </w:r>
      <w:r w:rsidR="00324474">
        <w:t xml:space="preserve">followed by </w:t>
      </w:r>
      <w:r w:rsidR="00324474" w:rsidRPr="00324474">
        <w:rPr>
          <w:i/>
        </w:rPr>
        <w:t>et al.</w:t>
      </w:r>
      <w:r w:rsidR="00AF15BE">
        <w:t xml:space="preserve"> </w:t>
      </w:r>
      <w:r w:rsidR="00705F5B">
        <w:t xml:space="preserve">and the year in parentheses. </w:t>
      </w:r>
    </w:p>
  </w:comment>
  <w:comment w:id="12" w:author="MARY" w:date="2012-11-26T19:42:00Z" w:initials="M">
    <w:p w14:paraId="5330A75D" w14:textId="77777777" w:rsidR="00363CEE" w:rsidRDefault="00363CEE" w:rsidP="004110D7">
      <w:pPr>
        <w:pStyle w:val="BalloonText"/>
      </w:pPr>
      <w:r>
        <w:rPr>
          <w:rStyle w:val="CommentReference"/>
        </w:rPr>
        <w:annotationRef/>
      </w:r>
      <w:r>
        <w:t>An example of a subsequent reference to a work with three or more authors, where the author is named in the narrative.</w:t>
      </w:r>
    </w:p>
  </w:comment>
  <w:comment w:id="13" w:author="MARY" w:date="2017-11-07T10:06:00Z" w:initials="M">
    <w:p w14:paraId="0C918FAD" w14:textId="77777777" w:rsidR="00363CEE" w:rsidRDefault="00363CEE" w:rsidP="004110D7">
      <w:pPr>
        <w:pStyle w:val="BalloonText"/>
      </w:pPr>
      <w:r>
        <w:rPr>
          <w:rStyle w:val="CommentReference"/>
        </w:rPr>
        <w:annotationRef/>
      </w:r>
      <w:r>
        <w:t xml:space="preserve">Omit the year for a subsequent citation </w:t>
      </w:r>
      <w:r w:rsidR="00324474">
        <w:t xml:space="preserve">to a source </w:t>
      </w:r>
      <w:r>
        <w:t>within the same paragraph.</w:t>
      </w:r>
    </w:p>
  </w:comment>
  <w:comment w:id="14" w:author="MARY" w:date="2016-11-02T15:51:00Z" w:initials="M">
    <w:p w14:paraId="4741A11C" w14:textId="77777777" w:rsidR="00610CCC" w:rsidRDefault="00610CCC" w:rsidP="004110D7">
      <w:pPr>
        <w:pStyle w:val="BalloonText"/>
      </w:pPr>
      <w:r>
        <w:rPr>
          <w:rStyle w:val="CommentReference"/>
        </w:rPr>
        <w:annotationRef/>
      </w:r>
      <w:r>
        <w:t xml:space="preserve">The </w:t>
      </w:r>
      <w:r w:rsidRPr="00FB3DF5">
        <w:rPr>
          <w:b/>
        </w:rPr>
        <w:t xml:space="preserve">References page </w:t>
      </w:r>
      <w:r w:rsidRPr="00FB3DF5">
        <w:t xml:space="preserve">lists </w:t>
      </w:r>
      <w:r>
        <w:t xml:space="preserve">all sources cited within the paper. Type “References” (without quotation marks) on the first line of the page, centered. </w:t>
      </w:r>
    </w:p>
  </w:comment>
  <w:comment w:id="15" w:author="Mary Waguespack" w:date="2017-11-07T10:07:00Z" w:initials="MW">
    <w:p w14:paraId="3BCE9107" w14:textId="77777777" w:rsidR="00D504F4" w:rsidRDefault="00D504F4" w:rsidP="00D504F4">
      <w:pPr>
        <w:pStyle w:val="BalloonText"/>
      </w:pPr>
      <w:r>
        <w:rPr>
          <w:rStyle w:val="CommentReference"/>
        </w:rPr>
        <w:annotationRef/>
      </w:r>
      <w:r>
        <w:t xml:space="preserve">All text on the page is double-spaced. </w:t>
      </w:r>
    </w:p>
    <w:p w14:paraId="7E9E9BEC" w14:textId="77777777" w:rsidR="00324474" w:rsidRDefault="00324474" w:rsidP="00D504F4">
      <w:pPr>
        <w:pStyle w:val="BalloonText"/>
      </w:pPr>
    </w:p>
    <w:p w14:paraId="25D09988" w14:textId="77777777" w:rsidR="00D504F4" w:rsidRDefault="00D504F4" w:rsidP="006036E0">
      <w:pPr>
        <w:pStyle w:val="BalloonText"/>
      </w:pPr>
      <w:r>
        <w:t>Use a hanging indent for each entry.</w:t>
      </w:r>
    </w:p>
  </w:comment>
  <w:comment w:id="16" w:author="Mary Waguespack" w:date="2016-11-02T16:12:00Z" w:initials="MW">
    <w:p w14:paraId="4E9EC65B" w14:textId="77777777" w:rsidR="00D504F4" w:rsidRDefault="00D504F4" w:rsidP="00D504F4">
      <w:pPr>
        <w:pStyle w:val="BalloonText"/>
      </w:pPr>
      <w:r>
        <w:rPr>
          <w:rStyle w:val="CommentReference"/>
        </w:rPr>
        <w:annotationRef/>
      </w:r>
      <w:r w:rsidRPr="00D504F4">
        <w:t>Alphabetize by author’s last name, including group or organization names</w:t>
      </w:r>
      <w:r w:rsidR="00F73CB5">
        <w:t>,</w:t>
      </w:r>
      <w:r w:rsidRPr="00D504F4">
        <w:t xml:space="preserve"> or by the first word of the title if there is no author of the work.</w:t>
      </w:r>
    </w:p>
  </w:comment>
  <w:comment w:id="17" w:author="Mary Waguespack" w:date="2017-11-07T10:07:00Z" w:initials="MW">
    <w:p w14:paraId="3C2C63A1" w14:textId="77777777" w:rsidR="00D504F4" w:rsidRDefault="00D504F4" w:rsidP="00D504F4">
      <w:pPr>
        <w:pStyle w:val="BalloonText"/>
      </w:pPr>
      <w:r>
        <w:rPr>
          <w:rStyle w:val="CommentReference"/>
        </w:rPr>
        <w:annotationRef/>
      </w:r>
      <w:r>
        <w:t xml:space="preserve">Give author </w:t>
      </w:r>
      <w:r w:rsidR="00324474">
        <w:t>names in inverted style (last name</w:t>
      </w:r>
      <w:r>
        <w:t xml:space="preserve"> first), and use initials for first and middle names.</w:t>
      </w:r>
    </w:p>
  </w:comment>
  <w:comment w:id="18" w:author="Mary Waguespack" w:date="2012-11-28T15:09:00Z" w:initials="MW">
    <w:p w14:paraId="0DF6F7C6" w14:textId="77777777" w:rsidR="00D504F4" w:rsidRDefault="00D504F4">
      <w:pPr>
        <w:pStyle w:val="CommentText"/>
      </w:pPr>
      <w:r>
        <w:rPr>
          <w:rStyle w:val="CommentReference"/>
        </w:rPr>
        <w:annotationRef/>
      </w:r>
      <w:r w:rsidRPr="004110D7">
        <w:rPr>
          <w:rStyle w:val="BalloonTextChar"/>
        </w:rPr>
        <w:t>Article titles use sentence case, not title case</w:t>
      </w:r>
      <w:r>
        <w:t>.</w:t>
      </w:r>
    </w:p>
  </w:comment>
  <w:comment w:id="19" w:author="Mary Waguespack" w:date="2012-11-28T15:13:00Z" w:initials="MW">
    <w:p w14:paraId="568C2A10" w14:textId="77777777" w:rsidR="00D504F4" w:rsidRDefault="00D504F4" w:rsidP="00D504F4">
      <w:pPr>
        <w:pStyle w:val="BalloonText"/>
      </w:pPr>
      <w:r>
        <w:rPr>
          <w:rStyle w:val="CommentReference"/>
        </w:rPr>
        <w:annotationRef/>
      </w:r>
      <w:r>
        <w:t>Capitalize the first letter of the word following a colon in the title.</w:t>
      </w:r>
    </w:p>
  </w:comment>
  <w:comment w:id="20" w:author="Mary Waguespack" w:date="2017-11-07T10:08:00Z" w:initials="MW">
    <w:p w14:paraId="5A369E6C" w14:textId="77777777" w:rsidR="00D504F4" w:rsidRDefault="00D504F4" w:rsidP="00D504F4">
      <w:pPr>
        <w:pStyle w:val="BalloonText"/>
      </w:pPr>
      <w:r>
        <w:rPr>
          <w:rStyle w:val="CommentReference"/>
        </w:rPr>
        <w:annotationRef/>
      </w:r>
      <w:r w:rsidR="00324474">
        <w:t>J</w:t>
      </w:r>
      <w:r>
        <w:t>our</w:t>
      </w:r>
      <w:r w:rsidR="00324474">
        <w:t xml:space="preserve">nal and other periodical titles use Title Case. </w:t>
      </w:r>
    </w:p>
  </w:comment>
  <w:comment w:id="21" w:author="Mary Waguespack" w:date="2017-11-07T10:08:00Z" w:initials="MW">
    <w:p w14:paraId="7C6883AD" w14:textId="77777777" w:rsidR="00D952B7" w:rsidRDefault="00D952B7" w:rsidP="006036E0">
      <w:pPr>
        <w:pStyle w:val="BalloonText"/>
      </w:pPr>
      <w:r>
        <w:rPr>
          <w:rStyle w:val="CommentReference"/>
        </w:rPr>
        <w:annotationRef/>
      </w:r>
      <w:r>
        <w:t>Include the volume number, issue number (if av</w:t>
      </w:r>
      <w:r w:rsidR="00324474">
        <w:t>ailable), and page range for a</w:t>
      </w:r>
      <w:r>
        <w:t xml:space="preserve"> journal article.</w:t>
      </w:r>
    </w:p>
  </w:comment>
  <w:comment w:id="22" w:author="Mary Waguespack" w:date="2012-11-28T15:17:00Z" w:initials="MW">
    <w:p w14:paraId="50907A02" w14:textId="77777777" w:rsidR="00D952B7" w:rsidRDefault="00D952B7" w:rsidP="006036E0">
      <w:pPr>
        <w:pStyle w:val="BalloonText"/>
      </w:pPr>
      <w:r>
        <w:rPr>
          <w:rStyle w:val="CommentReference"/>
        </w:rPr>
        <w:annotationRef/>
      </w:r>
      <w:r>
        <w:t>If available, use the DOI (digital object identifier) for an article from an online database (instead of the URL).</w:t>
      </w:r>
    </w:p>
  </w:comment>
  <w:comment w:id="23" w:author="MARY" w:date="2012-11-26T19:45:00Z" w:initials="M">
    <w:p w14:paraId="51A589CC" w14:textId="77777777" w:rsidR="00610CCC" w:rsidRDefault="00610CCC" w:rsidP="004110D7">
      <w:pPr>
        <w:pStyle w:val="BalloonText"/>
      </w:pPr>
      <w:r>
        <w:rPr>
          <w:rStyle w:val="CommentReference"/>
        </w:rPr>
        <w:annotationRef/>
      </w:r>
      <w:r>
        <w:t>For two or more works by the same author, order entries by year. In this example, the entry for Moore (2004) comes before the next entry for Moore (2008).</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815B7" w14:textId="77777777" w:rsidR="00214D8F" w:rsidRDefault="00214D8F" w:rsidP="004203C7">
      <w:pPr>
        <w:spacing w:after="0" w:line="240" w:lineRule="auto"/>
      </w:pPr>
      <w:r>
        <w:separator/>
      </w:r>
    </w:p>
  </w:endnote>
  <w:endnote w:type="continuationSeparator" w:id="0">
    <w:p w14:paraId="4EF713DB" w14:textId="77777777" w:rsidR="00214D8F" w:rsidRDefault="00214D8F" w:rsidP="0042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56692" w14:textId="77777777" w:rsidR="00214D8F" w:rsidRDefault="00214D8F" w:rsidP="004203C7">
      <w:pPr>
        <w:spacing w:after="0" w:line="240" w:lineRule="auto"/>
      </w:pPr>
      <w:r>
        <w:separator/>
      </w:r>
    </w:p>
  </w:footnote>
  <w:footnote w:type="continuationSeparator" w:id="0">
    <w:p w14:paraId="430F9319" w14:textId="77777777" w:rsidR="00214D8F" w:rsidRDefault="00214D8F" w:rsidP="004203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6D908" w14:textId="77777777" w:rsidR="00E934F3" w:rsidRPr="00E21306" w:rsidRDefault="00E934F3" w:rsidP="005B413F">
    <w:pPr>
      <w:pStyle w:val="Header"/>
      <w:jc w:val="right"/>
      <w:rPr>
        <w:rFonts w:ascii="Times New Roman" w:hAnsi="Times New Roman"/>
        <w:sz w:val="24"/>
        <w:szCs w:val="24"/>
      </w:rPr>
    </w:pPr>
    <w:r>
      <w:rPr>
        <w:rFonts w:ascii="Times New Roman" w:hAnsi="Times New Roman"/>
        <w:sz w:val="24"/>
        <w:szCs w:val="24"/>
      </w:rPr>
      <w:t>RAPE MYTH ACCEPTANCE AND GENDER RELATED PREDICTORS</w:t>
    </w:r>
    <w:r>
      <w:rPr>
        <w:rFonts w:ascii="Times New Roman" w:hAnsi="Times New Roman"/>
        <w:sz w:val="24"/>
        <w:szCs w:val="24"/>
      </w:rPr>
      <w:tab/>
      <w:t xml:space="preserve"> </w:t>
    </w:r>
    <w:r w:rsidR="00D751D6" w:rsidRPr="00E21306">
      <w:rPr>
        <w:rFonts w:ascii="Times New Roman" w:hAnsi="Times New Roman"/>
        <w:sz w:val="24"/>
        <w:szCs w:val="24"/>
      </w:rPr>
      <w:fldChar w:fldCharType="begin"/>
    </w:r>
    <w:r w:rsidRPr="00E21306">
      <w:rPr>
        <w:rFonts w:ascii="Times New Roman" w:hAnsi="Times New Roman"/>
        <w:sz w:val="24"/>
        <w:szCs w:val="24"/>
      </w:rPr>
      <w:instrText xml:space="preserve"> PAGE   \* MERGEFORMAT </w:instrText>
    </w:r>
    <w:r w:rsidR="00D751D6" w:rsidRPr="00E21306">
      <w:rPr>
        <w:rFonts w:ascii="Times New Roman" w:hAnsi="Times New Roman"/>
        <w:sz w:val="24"/>
        <w:szCs w:val="24"/>
      </w:rPr>
      <w:fldChar w:fldCharType="separate"/>
    </w:r>
    <w:r w:rsidR="005818A2">
      <w:rPr>
        <w:rFonts w:ascii="Times New Roman" w:hAnsi="Times New Roman"/>
        <w:noProof/>
        <w:sz w:val="24"/>
        <w:szCs w:val="24"/>
      </w:rPr>
      <w:t>2</w:t>
    </w:r>
    <w:r w:rsidR="00D751D6" w:rsidRPr="00E21306">
      <w:rPr>
        <w:rFonts w:ascii="Times New Roman" w:hAnsi="Times New Roman"/>
        <w:sz w:val="24"/>
        <w:szCs w:val="24"/>
      </w:rPr>
      <w:fldChar w:fldCharType="end"/>
    </w:r>
  </w:p>
  <w:p w14:paraId="5CD0DC33" w14:textId="77777777" w:rsidR="00E934F3" w:rsidRDefault="00E934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632EE" w14:textId="77777777" w:rsidR="00E934F3" w:rsidRPr="00E21306" w:rsidRDefault="00E934F3" w:rsidP="00017F2A">
    <w:pPr>
      <w:pStyle w:val="Header"/>
      <w:rPr>
        <w:rFonts w:ascii="Times New Roman" w:hAnsi="Times New Roman"/>
        <w:sz w:val="24"/>
        <w:szCs w:val="24"/>
      </w:rPr>
    </w:pPr>
    <w:r>
      <w:rPr>
        <w:rFonts w:ascii="Times New Roman" w:hAnsi="Times New Roman"/>
        <w:sz w:val="24"/>
        <w:szCs w:val="24"/>
      </w:rPr>
      <w:t>Running head: RAPE MYTH ACCEPTANCE AND GENDER RELATED PREDICTORS</w:t>
    </w:r>
    <w:r>
      <w:rPr>
        <w:rFonts w:ascii="Times New Roman" w:hAnsi="Times New Roman"/>
        <w:sz w:val="24"/>
        <w:szCs w:val="24"/>
      </w:rPr>
      <w:tab/>
    </w:r>
    <w:r w:rsidR="00D751D6" w:rsidRPr="00E21306">
      <w:rPr>
        <w:rFonts w:ascii="Times New Roman" w:hAnsi="Times New Roman"/>
        <w:sz w:val="24"/>
        <w:szCs w:val="24"/>
      </w:rPr>
      <w:fldChar w:fldCharType="begin"/>
    </w:r>
    <w:r w:rsidRPr="00E21306">
      <w:rPr>
        <w:rFonts w:ascii="Times New Roman" w:hAnsi="Times New Roman"/>
        <w:sz w:val="24"/>
        <w:szCs w:val="24"/>
      </w:rPr>
      <w:instrText xml:space="preserve"> PAGE   \* MERGEFORMAT </w:instrText>
    </w:r>
    <w:r w:rsidR="00D751D6" w:rsidRPr="00E21306">
      <w:rPr>
        <w:rFonts w:ascii="Times New Roman" w:hAnsi="Times New Roman"/>
        <w:sz w:val="24"/>
        <w:szCs w:val="24"/>
      </w:rPr>
      <w:fldChar w:fldCharType="separate"/>
    </w:r>
    <w:r w:rsidR="005818A2">
      <w:rPr>
        <w:rFonts w:ascii="Times New Roman" w:hAnsi="Times New Roman"/>
        <w:noProof/>
        <w:sz w:val="24"/>
        <w:szCs w:val="24"/>
      </w:rPr>
      <w:t>1</w:t>
    </w:r>
    <w:r w:rsidR="00D751D6" w:rsidRPr="00E21306">
      <w:rPr>
        <w:rFonts w:ascii="Times New Roman" w:hAnsi="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4E217A"/>
    <w:lvl w:ilvl="0">
      <w:start w:val="1"/>
      <w:numFmt w:val="decimal"/>
      <w:lvlText w:val="%1."/>
      <w:lvlJc w:val="left"/>
      <w:pPr>
        <w:tabs>
          <w:tab w:val="num" w:pos="1800"/>
        </w:tabs>
        <w:ind w:left="1800" w:hanging="360"/>
      </w:pPr>
    </w:lvl>
  </w:abstractNum>
  <w:abstractNum w:abstractNumId="1">
    <w:nsid w:val="FFFFFF7D"/>
    <w:multiLevelType w:val="singleLevel"/>
    <w:tmpl w:val="54FCD990"/>
    <w:lvl w:ilvl="0">
      <w:start w:val="1"/>
      <w:numFmt w:val="decimal"/>
      <w:lvlText w:val="%1."/>
      <w:lvlJc w:val="left"/>
      <w:pPr>
        <w:tabs>
          <w:tab w:val="num" w:pos="1440"/>
        </w:tabs>
        <w:ind w:left="1440" w:hanging="360"/>
      </w:pPr>
    </w:lvl>
  </w:abstractNum>
  <w:abstractNum w:abstractNumId="2">
    <w:nsid w:val="FFFFFF7E"/>
    <w:multiLevelType w:val="singleLevel"/>
    <w:tmpl w:val="423A0416"/>
    <w:lvl w:ilvl="0">
      <w:start w:val="1"/>
      <w:numFmt w:val="decimal"/>
      <w:lvlText w:val="%1."/>
      <w:lvlJc w:val="left"/>
      <w:pPr>
        <w:tabs>
          <w:tab w:val="num" w:pos="1080"/>
        </w:tabs>
        <w:ind w:left="1080" w:hanging="360"/>
      </w:pPr>
    </w:lvl>
  </w:abstractNum>
  <w:abstractNum w:abstractNumId="3">
    <w:nsid w:val="FFFFFF7F"/>
    <w:multiLevelType w:val="singleLevel"/>
    <w:tmpl w:val="A844B3EC"/>
    <w:lvl w:ilvl="0">
      <w:start w:val="1"/>
      <w:numFmt w:val="decimal"/>
      <w:lvlText w:val="%1."/>
      <w:lvlJc w:val="left"/>
      <w:pPr>
        <w:tabs>
          <w:tab w:val="num" w:pos="720"/>
        </w:tabs>
        <w:ind w:left="720" w:hanging="360"/>
      </w:pPr>
    </w:lvl>
  </w:abstractNum>
  <w:abstractNum w:abstractNumId="4">
    <w:nsid w:val="FFFFFF80"/>
    <w:multiLevelType w:val="singleLevel"/>
    <w:tmpl w:val="2C6CA3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4A52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3094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B9E76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5659A4"/>
    <w:lvl w:ilvl="0">
      <w:start w:val="1"/>
      <w:numFmt w:val="decimal"/>
      <w:lvlText w:val="%1."/>
      <w:lvlJc w:val="left"/>
      <w:pPr>
        <w:tabs>
          <w:tab w:val="num" w:pos="360"/>
        </w:tabs>
        <w:ind w:left="360" w:hanging="360"/>
      </w:pPr>
    </w:lvl>
  </w:abstractNum>
  <w:abstractNum w:abstractNumId="9">
    <w:nsid w:val="FFFFFF89"/>
    <w:multiLevelType w:val="singleLevel"/>
    <w:tmpl w:val="6F4E96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3C7"/>
    <w:rsid w:val="00005949"/>
    <w:rsid w:val="00005B02"/>
    <w:rsid w:val="00006045"/>
    <w:rsid w:val="00017F2A"/>
    <w:rsid w:val="00056220"/>
    <w:rsid w:val="00070D9D"/>
    <w:rsid w:val="0009675B"/>
    <w:rsid w:val="000A1AF0"/>
    <w:rsid w:val="000D2E41"/>
    <w:rsid w:val="001028CD"/>
    <w:rsid w:val="0012165C"/>
    <w:rsid w:val="001423CA"/>
    <w:rsid w:val="00176044"/>
    <w:rsid w:val="00191336"/>
    <w:rsid w:val="001943FA"/>
    <w:rsid w:val="001B4F49"/>
    <w:rsid w:val="001B743A"/>
    <w:rsid w:val="001C26FF"/>
    <w:rsid w:val="001C522C"/>
    <w:rsid w:val="001E34B4"/>
    <w:rsid w:val="001F18B5"/>
    <w:rsid w:val="001F5E0D"/>
    <w:rsid w:val="002007A6"/>
    <w:rsid w:val="00207ADC"/>
    <w:rsid w:val="00214D8F"/>
    <w:rsid w:val="002305EC"/>
    <w:rsid w:val="0027027A"/>
    <w:rsid w:val="00275473"/>
    <w:rsid w:val="002836B6"/>
    <w:rsid w:val="002E0797"/>
    <w:rsid w:val="002F32F7"/>
    <w:rsid w:val="00324474"/>
    <w:rsid w:val="00332B72"/>
    <w:rsid w:val="003446A6"/>
    <w:rsid w:val="0034753A"/>
    <w:rsid w:val="00363CEE"/>
    <w:rsid w:val="003646B4"/>
    <w:rsid w:val="00371CE5"/>
    <w:rsid w:val="00371FD3"/>
    <w:rsid w:val="00391B81"/>
    <w:rsid w:val="003A4ACD"/>
    <w:rsid w:val="003C76CB"/>
    <w:rsid w:val="003E3FAC"/>
    <w:rsid w:val="00400CA3"/>
    <w:rsid w:val="004110D7"/>
    <w:rsid w:val="004203C7"/>
    <w:rsid w:val="00430182"/>
    <w:rsid w:val="004346D6"/>
    <w:rsid w:val="00454F78"/>
    <w:rsid w:val="00466801"/>
    <w:rsid w:val="00495806"/>
    <w:rsid w:val="004B3A7F"/>
    <w:rsid w:val="004E6695"/>
    <w:rsid w:val="004F3237"/>
    <w:rsid w:val="00502BB7"/>
    <w:rsid w:val="00520487"/>
    <w:rsid w:val="0052765F"/>
    <w:rsid w:val="00577EAE"/>
    <w:rsid w:val="005818A2"/>
    <w:rsid w:val="005B413F"/>
    <w:rsid w:val="005C2118"/>
    <w:rsid w:val="005D353E"/>
    <w:rsid w:val="005E4C69"/>
    <w:rsid w:val="005E5533"/>
    <w:rsid w:val="00601C62"/>
    <w:rsid w:val="006036E0"/>
    <w:rsid w:val="00610CCC"/>
    <w:rsid w:val="0061253C"/>
    <w:rsid w:val="00627CDF"/>
    <w:rsid w:val="00636340"/>
    <w:rsid w:val="00640FC0"/>
    <w:rsid w:val="00646ADB"/>
    <w:rsid w:val="006D12C8"/>
    <w:rsid w:val="006D1D2A"/>
    <w:rsid w:val="006E340B"/>
    <w:rsid w:val="006E475D"/>
    <w:rsid w:val="006E7676"/>
    <w:rsid w:val="00705F5B"/>
    <w:rsid w:val="00730035"/>
    <w:rsid w:val="00732454"/>
    <w:rsid w:val="007414C7"/>
    <w:rsid w:val="00783DBC"/>
    <w:rsid w:val="00791D9A"/>
    <w:rsid w:val="007970C6"/>
    <w:rsid w:val="007B14B1"/>
    <w:rsid w:val="007B4E06"/>
    <w:rsid w:val="007E0F1E"/>
    <w:rsid w:val="00821423"/>
    <w:rsid w:val="008474AE"/>
    <w:rsid w:val="00864476"/>
    <w:rsid w:val="00874C20"/>
    <w:rsid w:val="00875949"/>
    <w:rsid w:val="008864AA"/>
    <w:rsid w:val="008A187D"/>
    <w:rsid w:val="008A7438"/>
    <w:rsid w:val="008B3CE5"/>
    <w:rsid w:val="008F0904"/>
    <w:rsid w:val="00903BD2"/>
    <w:rsid w:val="0091717F"/>
    <w:rsid w:val="00943596"/>
    <w:rsid w:val="00964027"/>
    <w:rsid w:val="00984B58"/>
    <w:rsid w:val="009869F6"/>
    <w:rsid w:val="00996781"/>
    <w:rsid w:val="009F5126"/>
    <w:rsid w:val="00A00801"/>
    <w:rsid w:val="00A0334D"/>
    <w:rsid w:val="00A24438"/>
    <w:rsid w:val="00A30DAD"/>
    <w:rsid w:val="00AB12BE"/>
    <w:rsid w:val="00AE6399"/>
    <w:rsid w:val="00AF15BE"/>
    <w:rsid w:val="00AF59F4"/>
    <w:rsid w:val="00B00C8D"/>
    <w:rsid w:val="00B04129"/>
    <w:rsid w:val="00B52A4F"/>
    <w:rsid w:val="00B56B11"/>
    <w:rsid w:val="00B60F6E"/>
    <w:rsid w:val="00BA74ED"/>
    <w:rsid w:val="00BB05F0"/>
    <w:rsid w:val="00BB5E8D"/>
    <w:rsid w:val="00BB6C45"/>
    <w:rsid w:val="00BC03D1"/>
    <w:rsid w:val="00BD5940"/>
    <w:rsid w:val="00BD6C1B"/>
    <w:rsid w:val="00C132A0"/>
    <w:rsid w:val="00C43758"/>
    <w:rsid w:val="00C53964"/>
    <w:rsid w:val="00C717B7"/>
    <w:rsid w:val="00C72C2C"/>
    <w:rsid w:val="00CA3257"/>
    <w:rsid w:val="00CA4929"/>
    <w:rsid w:val="00CC44E6"/>
    <w:rsid w:val="00CD7E96"/>
    <w:rsid w:val="00CF6025"/>
    <w:rsid w:val="00D076F4"/>
    <w:rsid w:val="00D4015C"/>
    <w:rsid w:val="00D504F4"/>
    <w:rsid w:val="00D57138"/>
    <w:rsid w:val="00D57E42"/>
    <w:rsid w:val="00D626F3"/>
    <w:rsid w:val="00D74768"/>
    <w:rsid w:val="00D751D6"/>
    <w:rsid w:val="00D952B7"/>
    <w:rsid w:val="00D96ADD"/>
    <w:rsid w:val="00DA54C2"/>
    <w:rsid w:val="00DC7392"/>
    <w:rsid w:val="00DD5A5A"/>
    <w:rsid w:val="00DD6E6A"/>
    <w:rsid w:val="00DF6C70"/>
    <w:rsid w:val="00E12DB8"/>
    <w:rsid w:val="00E14673"/>
    <w:rsid w:val="00E21306"/>
    <w:rsid w:val="00E934F3"/>
    <w:rsid w:val="00E9672A"/>
    <w:rsid w:val="00E97A02"/>
    <w:rsid w:val="00EA1CA7"/>
    <w:rsid w:val="00EA1E90"/>
    <w:rsid w:val="00EA3237"/>
    <w:rsid w:val="00EC3FDA"/>
    <w:rsid w:val="00EE5970"/>
    <w:rsid w:val="00EF1964"/>
    <w:rsid w:val="00F010CD"/>
    <w:rsid w:val="00F32D38"/>
    <w:rsid w:val="00F451AB"/>
    <w:rsid w:val="00F61185"/>
    <w:rsid w:val="00F66B56"/>
    <w:rsid w:val="00F726DF"/>
    <w:rsid w:val="00F73CB5"/>
    <w:rsid w:val="00F84004"/>
    <w:rsid w:val="00FB3DF5"/>
    <w:rsid w:val="00FE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D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3C7"/>
    <w:pPr>
      <w:tabs>
        <w:tab w:val="center" w:pos="4680"/>
        <w:tab w:val="right" w:pos="9360"/>
      </w:tabs>
      <w:spacing w:after="0" w:line="240" w:lineRule="auto"/>
    </w:pPr>
    <w:rPr>
      <w:sz w:val="20"/>
      <w:szCs w:val="20"/>
    </w:rPr>
  </w:style>
  <w:style w:type="character" w:customStyle="1" w:styleId="HeaderChar">
    <w:name w:val="Header Char"/>
    <w:link w:val="Header"/>
    <w:uiPriority w:val="99"/>
    <w:rsid w:val="004203C7"/>
    <w:rPr>
      <w:rFonts w:cs="Times New Roman"/>
    </w:rPr>
  </w:style>
  <w:style w:type="paragraph" w:styleId="Footer">
    <w:name w:val="footer"/>
    <w:basedOn w:val="Normal"/>
    <w:link w:val="FooterChar"/>
    <w:uiPriority w:val="99"/>
    <w:semiHidden/>
    <w:rsid w:val="004203C7"/>
    <w:pPr>
      <w:tabs>
        <w:tab w:val="center" w:pos="4680"/>
        <w:tab w:val="right" w:pos="9360"/>
      </w:tabs>
      <w:spacing w:after="0" w:line="240" w:lineRule="auto"/>
    </w:pPr>
    <w:rPr>
      <w:sz w:val="20"/>
      <w:szCs w:val="20"/>
    </w:rPr>
  </w:style>
  <w:style w:type="character" w:customStyle="1" w:styleId="FooterChar">
    <w:name w:val="Footer Char"/>
    <w:link w:val="Footer"/>
    <w:uiPriority w:val="99"/>
    <w:semiHidden/>
    <w:rsid w:val="004203C7"/>
    <w:rPr>
      <w:rFonts w:cs="Times New Roman"/>
    </w:rPr>
  </w:style>
  <w:style w:type="paragraph" w:styleId="BalloonText">
    <w:name w:val="Balloon Text"/>
    <w:basedOn w:val="Normal"/>
    <w:link w:val="BalloonTextChar"/>
    <w:uiPriority w:val="99"/>
    <w:semiHidden/>
    <w:qFormat/>
    <w:rsid w:val="004110D7"/>
    <w:pPr>
      <w:spacing w:after="0" w:line="240" w:lineRule="auto"/>
    </w:pPr>
    <w:rPr>
      <w:rFonts w:ascii="Tahoma" w:hAnsi="Tahoma"/>
      <w:sz w:val="20"/>
      <w:szCs w:val="16"/>
    </w:rPr>
  </w:style>
  <w:style w:type="character" w:customStyle="1" w:styleId="BalloonTextChar">
    <w:name w:val="Balloon Text Char"/>
    <w:link w:val="BalloonText"/>
    <w:uiPriority w:val="99"/>
    <w:semiHidden/>
    <w:rsid w:val="004110D7"/>
    <w:rPr>
      <w:rFonts w:ascii="Tahoma" w:hAnsi="Tahoma" w:cs="Tahoma"/>
      <w:szCs w:val="16"/>
    </w:rPr>
  </w:style>
  <w:style w:type="character" w:styleId="CommentReference">
    <w:name w:val="annotation reference"/>
    <w:uiPriority w:val="99"/>
    <w:semiHidden/>
    <w:unhideWhenUsed/>
    <w:rsid w:val="00CD7E96"/>
    <w:rPr>
      <w:sz w:val="16"/>
      <w:szCs w:val="16"/>
    </w:rPr>
  </w:style>
  <w:style w:type="paragraph" w:styleId="CommentText">
    <w:name w:val="annotation text"/>
    <w:basedOn w:val="Normal"/>
    <w:link w:val="CommentTextChar"/>
    <w:uiPriority w:val="99"/>
    <w:semiHidden/>
    <w:unhideWhenUsed/>
    <w:rsid w:val="003A4ACD"/>
    <w:rPr>
      <w:sz w:val="20"/>
      <w:szCs w:val="20"/>
    </w:rPr>
  </w:style>
  <w:style w:type="character" w:customStyle="1" w:styleId="CommentTextChar">
    <w:name w:val="Comment Text Char"/>
    <w:link w:val="CommentText"/>
    <w:uiPriority w:val="99"/>
    <w:semiHidden/>
    <w:rsid w:val="003A4ACD"/>
  </w:style>
  <w:style w:type="paragraph" w:styleId="CommentSubject">
    <w:name w:val="annotation subject"/>
    <w:basedOn w:val="CommentText"/>
    <w:next w:val="CommentText"/>
    <w:link w:val="CommentSubjectChar"/>
    <w:uiPriority w:val="99"/>
    <w:semiHidden/>
    <w:unhideWhenUsed/>
    <w:rsid w:val="00CD7E96"/>
    <w:rPr>
      <w:b/>
      <w:bCs/>
    </w:rPr>
  </w:style>
  <w:style w:type="character" w:customStyle="1" w:styleId="CommentSubjectChar">
    <w:name w:val="Comment Subject Char"/>
    <w:link w:val="CommentSubject"/>
    <w:uiPriority w:val="99"/>
    <w:semiHidden/>
    <w:rsid w:val="00CD7E96"/>
    <w:rPr>
      <w:b/>
      <w:bCs/>
      <w:sz w:val="20"/>
      <w:szCs w:val="20"/>
    </w:rPr>
  </w:style>
  <w:style w:type="table" w:styleId="TableGrid">
    <w:name w:val="Table Grid"/>
    <w:basedOn w:val="TableNormal"/>
    <w:uiPriority w:val="59"/>
    <w:rsid w:val="00CA4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47802">
      <w:marLeft w:val="0"/>
      <w:marRight w:val="0"/>
      <w:marTop w:val="0"/>
      <w:marBottom w:val="0"/>
      <w:divBdr>
        <w:top w:val="none" w:sz="0" w:space="0" w:color="auto"/>
        <w:left w:val="none" w:sz="0" w:space="0" w:color="auto"/>
        <w:bottom w:val="none" w:sz="0" w:space="0" w:color="auto"/>
        <w:right w:val="none" w:sz="0" w:space="0" w:color="auto"/>
      </w:divBdr>
      <w:divsChild>
        <w:div w:id="415247798">
          <w:marLeft w:val="0"/>
          <w:marRight w:val="0"/>
          <w:marTop w:val="0"/>
          <w:marBottom w:val="0"/>
          <w:divBdr>
            <w:top w:val="none" w:sz="0" w:space="0" w:color="auto"/>
            <w:left w:val="none" w:sz="0" w:space="0" w:color="auto"/>
            <w:bottom w:val="none" w:sz="0" w:space="0" w:color="auto"/>
            <w:right w:val="none" w:sz="0" w:space="0" w:color="auto"/>
          </w:divBdr>
          <w:divsChild>
            <w:div w:id="415247793">
              <w:marLeft w:val="0"/>
              <w:marRight w:val="0"/>
              <w:marTop w:val="0"/>
              <w:marBottom w:val="0"/>
              <w:divBdr>
                <w:top w:val="none" w:sz="0" w:space="0" w:color="auto"/>
                <w:left w:val="none" w:sz="0" w:space="0" w:color="auto"/>
                <w:bottom w:val="none" w:sz="0" w:space="0" w:color="auto"/>
                <w:right w:val="none" w:sz="0" w:space="0" w:color="auto"/>
              </w:divBdr>
              <w:divsChild>
                <w:div w:id="415247795">
                  <w:marLeft w:val="0"/>
                  <w:marRight w:val="0"/>
                  <w:marTop w:val="0"/>
                  <w:marBottom w:val="0"/>
                  <w:divBdr>
                    <w:top w:val="single" w:sz="6" w:space="0" w:color="BFCCD5"/>
                    <w:left w:val="none" w:sz="0" w:space="0" w:color="auto"/>
                    <w:bottom w:val="none" w:sz="0" w:space="0" w:color="auto"/>
                    <w:right w:val="none" w:sz="0" w:space="0" w:color="auto"/>
                  </w:divBdr>
                  <w:divsChild>
                    <w:div w:id="415247806">
                      <w:marLeft w:val="300"/>
                      <w:marRight w:val="300"/>
                      <w:marTop w:val="0"/>
                      <w:marBottom w:val="0"/>
                      <w:divBdr>
                        <w:top w:val="none" w:sz="0" w:space="0" w:color="auto"/>
                        <w:left w:val="none" w:sz="0" w:space="0" w:color="auto"/>
                        <w:bottom w:val="none" w:sz="0" w:space="0" w:color="auto"/>
                        <w:right w:val="none" w:sz="0" w:space="0" w:color="auto"/>
                      </w:divBdr>
                      <w:divsChild>
                        <w:div w:id="415247800">
                          <w:marLeft w:val="120"/>
                          <w:marRight w:val="0"/>
                          <w:marTop w:val="0"/>
                          <w:marBottom w:val="0"/>
                          <w:divBdr>
                            <w:top w:val="none" w:sz="0" w:space="0" w:color="auto"/>
                            <w:left w:val="none" w:sz="0" w:space="0" w:color="auto"/>
                            <w:bottom w:val="none" w:sz="0" w:space="0" w:color="auto"/>
                            <w:right w:val="none" w:sz="0" w:space="0" w:color="auto"/>
                          </w:divBdr>
                          <w:divsChild>
                            <w:div w:id="415247789">
                              <w:marLeft w:val="0"/>
                              <w:marRight w:val="0"/>
                              <w:marTop w:val="0"/>
                              <w:marBottom w:val="0"/>
                              <w:divBdr>
                                <w:top w:val="none" w:sz="0" w:space="0" w:color="auto"/>
                                <w:left w:val="none" w:sz="0" w:space="0" w:color="auto"/>
                                <w:bottom w:val="none" w:sz="0" w:space="0" w:color="auto"/>
                                <w:right w:val="none" w:sz="0" w:space="0" w:color="auto"/>
                              </w:divBdr>
                              <w:divsChild>
                                <w:div w:id="415247794">
                                  <w:marLeft w:val="0"/>
                                  <w:marRight w:val="0"/>
                                  <w:marTop w:val="0"/>
                                  <w:marBottom w:val="0"/>
                                  <w:divBdr>
                                    <w:top w:val="none" w:sz="0" w:space="0" w:color="auto"/>
                                    <w:left w:val="none" w:sz="0" w:space="0" w:color="auto"/>
                                    <w:bottom w:val="none" w:sz="0" w:space="0" w:color="auto"/>
                                    <w:right w:val="none" w:sz="0" w:space="0" w:color="auto"/>
                                  </w:divBdr>
                                  <w:divsChild>
                                    <w:div w:id="415247807">
                                      <w:marLeft w:val="-225"/>
                                      <w:marRight w:val="-195"/>
                                      <w:marTop w:val="0"/>
                                      <w:marBottom w:val="75"/>
                                      <w:divBdr>
                                        <w:top w:val="none" w:sz="0" w:space="0" w:color="auto"/>
                                        <w:left w:val="none" w:sz="0" w:space="0" w:color="auto"/>
                                        <w:bottom w:val="none" w:sz="0" w:space="0" w:color="auto"/>
                                        <w:right w:val="none" w:sz="0" w:space="0" w:color="auto"/>
                                      </w:divBdr>
                                      <w:divsChild>
                                        <w:div w:id="4152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247805">
      <w:marLeft w:val="0"/>
      <w:marRight w:val="0"/>
      <w:marTop w:val="0"/>
      <w:marBottom w:val="0"/>
      <w:divBdr>
        <w:top w:val="none" w:sz="0" w:space="0" w:color="auto"/>
        <w:left w:val="none" w:sz="0" w:space="0" w:color="auto"/>
        <w:bottom w:val="none" w:sz="0" w:space="0" w:color="auto"/>
        <w:right w:val="none" w:sz="0" w:space="0" w:color="auto"/>
      </w:divBdr>
      <w:divsChild>
        <w:div w:id="415247788">
          <w:marLeft w:val="0"/>
          <w:marRight w:val="0"/>
          <w:marTop w:val="0"/>
          <w:marBottom w:val="0"/>
          <w:divBdr>
            <w:top w:val="none" w:sz="0" w:space="0" w:color="auto"/>
            <w:left w:val="none" w:sz="0" w:space="0" w:color="auto"/>
            <w:bottom w:val="none" w:sz="0" w:space="0" w:color="auto"/>
            <w:right w:val="none" w:sz="0" w:space="0" w:color="auto"/>
          </w:divBdr>
          <w:divsChild>
            <w:div w:id="415247803">
              <w:marLeft w:val="0"/>
              <w:marRight w:val="0"/>
              <w:marTop w:val="0"/>
              <w:marBottom w:val="0"/>
              <w:divBdr>
                <w:top w:val="none" w:sz="0" w:space="0" w:color="auto"/>
                <w:left w:val="none" w:sz="0" w:space="0" w:color="auto"/>
                <w:bottom w:val="none" w:sz="0" w:space="0" w:color="auto"/>
                <w:right w:val="none" w:sz="0" w:space="0" w:color="auto"/>
              </w:divBdr>
              <w:divsChild>
                <w:div w:id="415247791">
                  <w:marLeft w:val="0"/>
                  <w:marRight w:val="0"/>
                  <w:marTop w:val="0"/>
                  <w:marBottom w:val="0"/>
                  <w:divBdr>
                    <w:top w:val="single" w:sz="6" w:space="0" w:color="BFCCD5"/>
                    <w:left w:val="none" w:sz="0" w:space="0" w:color="auto"/>
                    <w:bottom w:val="none" w:sz="0" w:space="0" w:color="auto"/>
                    <w:right w:val="none" w:sz="0" w:space="0" w:color="auto"/>
                  </w:divBdr>
                  <w:divsChild>
                    <w:div w:id="415247804">
                      <w:marLeft w:val="300"/>
                      <w:marRight w:val="300"/>
                      <w:marTop w:val="0"/>
                      <w:marBottom w:val="0"/>
                      <w:divBdr>
                        <w:top w:val="none" w:sz="0" w:space="0" w:color="auto"/>
                        <w:left w:val="none" w:sz="0" w:space="0" w:color="auto"/>
                        <w:bottom w:val="none" w:sz="0" w:space="0" w:color="auto"/>
                        <w:right w:val="none" w:sz="0" w:space="0" w:color="auto"/>
                      </w:divBdr>
                      <w:divsChild>
                        <w:div w:id="415247796">
                          <w:marLeft w:val="120"/>
                          <w:marRight w:val="0"/>
                          <w:marTop w:val="0"/>
                          <w:marBottom w:val="0"/>
                          <w:divBdr>
                            <w:top w:val="none" w:sz="0" w:space="0" w:color="auto"/>
                            <w:left w:val="none" w:sz="0" w:space="0" w:color="auto"/>
                            <w:bottom w:val="none" w:sz="0" w:space="0" w:color="auto"/>
                            <w:right w:val="none" w:sz="0" w:space="0" w:color="auto"/>
                          </w:divBdr>
                          <w:divsChild>
                            <w:div w:id="415247792">
                              <w:marLeft w:val="0"/>
                              <w:marRight w:val="0"/>
                              <w:marTop w:val="0"/>
                              <w:marBottom w:val="0"/>
                              <w:divBdr>
                                <w:top w:val="none" w:sz="0" w:space="0" w:color="auto"/>
                                <w:left w:val="none" w:sz="0" w:space="0" w:color="auto"/>
                                <w:bottom w:val="none" w:sz="0" w:space="0" w:color="auto"/>
                                <w:right w:val="none" w:sz="0" w:space="0" w:color="auto"/>
                              </w:divBdr>
                              <w:divsChild>
                                <w:div w:id="415247799">
                                  <w:marLeft w:val="0"/>
                                  <w:marRight w:val="0"/>
                                  <w:marTop w:val="0"/>
                                  <w:marBottom w:val="0"/>
                                  <w:divBdr>
                                    <w:top w:val="none" w:sz="0" w:space="0" w:color="auto"/>
                                    <w:left w:val="none" w:sz="0" w:space="0" w:color="auto"/>
                                    <w:bottom w:val="none" w:sz="0" w:space="0" w:color="auto"/>
                                    <w:right w:val="none" w:sz="0" w:space="0" w:color="auto"/>
                                  </w:divBdr>
                                  <w:divsChild>
                                    <w:div w:id="415247797">
                                      <w:marLeft w:val="-225"/>
                                      <w:marRight w:val="-195"/>
                                      <w:marTop w:val="0"/>
                                      <w:marBottom w:val="75"/>
                                      <w:divBdr>
                                        <w:top w:val="none" w:sz="0" w:space="0" w:color="auto"/>
                                        <w:left w:val="none" w:sz="0" w:space="0" w:color="auto"/>
                                        <w:bottom w:val="none" w:sz="0" w:space="0" w:color="auto"/>
                                        <w:right w:val="none" w:sz="0" w:space="0" w:color="auto"/>
                                      </w:divBdr>
                                      <w:divsChild>
                                        <w:div w:id="4152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2FA7790-DFAE-184B-8861-6AD0A02E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1171</Words>
  <Characters>6679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Relation Between Rape Myth Acceptance and Gender Role Stress</vt:lpstr>
    </vt:vector>
  </TitlesOfParts>
  <Company>Loyola University New Orleans</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Between Rape Myth Acceptance and Gender Role Stress</dc:title>
  <dc:creator>Information Technology</dc:creator>
  <cp:lastModifiedBy>Cyprien Bullock</cp:lastModifiedBy>
  <cp:revision>13</cp:revision>
  <cp:lastPrinted>2012-11-29T17:22:00Z</cp:lastPrinted>
  <dcterms:created xsi:type="dcterms:W3CDTF">2012-11-29T17:20:00Z</dcterms:created>
  <dcterms:modified xsi:type="dcterms:W3CDTF">2018-06-12T15:49:00Z</dcterms:modified>
</cp:coreProperties>
</file>